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10C2" w14:textId="3FDC203A" w:rsidR="00EB5AB2" w:rsidRDefault="006E0648">
      <w:pPr>
        <w:rPr>
          <w:lang w:val="en-IE"/>
        </w:rPr>
      </w:pPr>
      <w:r>
        <w:rPr>
          <w:lang w:val="en-IE"/>
        </w:rPr>
        <w:t xml:space="preserve"> </w:t>
      </w:r>
    </w:p>
    <w:p w14:paraId="77FBC4B4" w14:textId="77777777" w:rsidR="00EB5AB2" w:rsidRDefault="00EB5AB2">
      <w:pPr>
        <w:rPr>
          <w:lang w:val="en-IE"/>
        </w:rPr>
      </w:pPr>
    </w:p>
    <w:p w14:paraId="10B6329E" w14:textId="77777777" w:rsidR="00EB5AB2" w:rsidRDefault="00EB5AB2">
      <w:pPr>
        <w:rPr>
          <w:lang w:val="en-IE"/>
        </w:rPr>
      </w:pPr>
    </w:p>
    <w:p w14:paraId="38C08960" w14:textId="77777777" w:rsidR="00EB5AB2" w:rsidRDefault="0058397B">
      <w:pPr>
        <w:rPr>
          <w:lang w:val="en-IE"/>
        </w:rPr>
      </w:pPr>
      <w:r>
        <w:object w:dxaOrig="1440" w:dyaOrig="1440" w14:anchorId="1940C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4pt;margin-top:1.8pt;width:489.6pt;height:120.1pt;z-index:251657728" o:allowincell="f">
            <v:imagedata r:id="rId8" o:title=""/>
            <w10:wrap type="topAndBottom"/>
          </v:shape>
          <o:OLEObject Type="Embed" ProgID="ImageExpertImage" ShapeID="_x0000_s1026" DrawAspect="Content" ObjectID="_1758098809" r:id="rId9"/>
        </w:object>
      </w:r>
    </w:p>
    <w:p w14:paraId="4D6307A2" w14:textId="77777777" w:rsidR="00EB5AB2" w:rsidRDefault="00EB5AB2">
      <w:pPr>
        <w:rPr>
          <w:lang w:val="en-IE"/>
        </w:rPr>
      </w:pPr>
    </w:p>
    <w:p w14:paraId="6B28B0EF" w14:textId="77777777" w:rsidR="00EB5AB2" w:rsidRDefault="00EB5AB2">
      <w:pPr>
        <w:rPr>
          <w:rFonts w:ascii="Century Gothic" w:hAnsi="Century Gothic"/>
          <w:lang w:val="en-IE"/>
        </w:rPr>
      </w:pPr>
    </w:p>
    <w:p w14:paraId="1318ADEC" w14:textId="77777777" w:rsidR="00EB5AB2" w:rsidRDefault="00EB5AB2">
      <w:pPr>
        <w:rPr>
          <w:rFonts w:ascii="Century Gothic" w:hAnsi="Century Gothic"/>
          <w:lang w:val="en-IE"/>
        </w:rPr>
      </w:pPr>
    </w:p>
    <w:p w14:paraId="34D4FC32" w14:textId="77777777" w:rsidR="00EB5AB2" w:rsidRDefault="00EB5AB2">
      <w:pPr>
        <w:pStyle w:val="Heading1"/>
        <w:rPr>
          <w:sz w:val="36"/>
        </w:rPr>
      </w:pPr>
      <w:r>
        <w:rPr>
          <w:sz w:val="36"/>
        </w:rPr>
        <w:t>PUBLIC   SPENDING   CODE</w:t>
      </w:r>
    </w:p>
    <w:p w14:paraId="69DBCC40" w14:textId="77777777" w:rsidR="00EB5AB2" w:rsidRDefault="00EB5AB2">
      <w:pPr>
        <w:pStyle w:val="Heading1"/>
        <w:rPr>
          <w:sz w:val="32"/>
        </w:rPr>
      </w:pPr>
    </w:p>
    <w:p w14:paraId="30379508" w14:textId="77777777" w:rsidR="00EB5AB2" w:rsidRDefault="00EB5AB2"/>
    <w:p w14:paraId="5F5D2F51" w14:textId="59AE8D36" w:rsidR="00EB5AB2" w:rsidRDefault="00EB5AB2">
      <w:pPr>
        <w:pStyle w:val="Heading1"/>
        <w:rPr>
          <w:sz w:val="32"/>
        </w:rPr>
      </w:pPr>
      <w:r>
        <w:rPr>
          <w:sz w:val="32"/>
        </w:rPr>
        <w:t xml:space="preserve">Quality Assurance Report </w:t>
      </w:r>
      <w:r w:rsidR="0045230F">
        <w:rPr>
          <w:sz w:val="32"/>
        </w:rPr>
        <w:t>202</w:t>
      </w:r>
      <w:r w:rsidR="008F2D8D">
        <w:rPr>
          <w:sz w:val="32"/>
        </w:rPr>
        <w:t>2</w:t>
      </w:r>
    </w:p>
    <w:p w14:paraId="14ED2758" w14:textId="77777777" w:rsidR="00EB5AB2" w:rsidRDefault="00EB5AB2">
      <w:pPr>
        <w:pStyle w:val="Heading1"/>
        <w:rPr>
          <w:sz w:val="32"/>
        </w:rPr>
      </w:pPr>
    </w:p>
    <w:p w14:paraId="690B2A8A" w14:textId="77777777" w:rsidR="00EB5AB2" w:rsidRDefault="00EB5AB2">
      <w:pPr>
        <w:rPr>
          <w:rFonts w:ascii="Century Gothic" w:hAnsi="Century Gothic"/>
          <w:lang w:val="en-IE"/>
        </w:rPr>
      </w:pPr>
    </w:p>
    <w:p w14:paraId="6C6BEC96" w14:textId="77777777" w:rsidR="00EB5AB2" w:rsidRDefault="00EB5AB2">
      <w:pPr>
        <w:rPr>
          <w:rFonts w:ascii="Century Gothic" w:hAnsi="Century Gothic"/>
          <w:lang w:val="en-IE"/>
        </w:rPr>
      </w:pPr>
    </w:p>
    <w:p w14:paraId="03602B62" w14:textId="77777777" w:rsidR="00EB5AB2" w:rsidRDefault="00EB5AB2">
      <w:pPr>
        <w:rPr>
          <w:rFonts w:ascii="Century Gothic" w:hAnsi="Century Gothic"/>
          <w:lang w:val="en-IE"/>
        </w:rPr>
      </w:pPr>
    </w:p>
    <w:p w14:paraId="1B6D0FDE" w14:textId="77777777" w:rsidR="00EB5AB2" w:rsidRDefault="00EB5AB2">
      <w:pPr>
        <w:rPr>
          <w:rFonts w:ascii="Century Gothic" w:hAnsi="Century Gothic"/>
          <w:lang w:val="en-IE"/>
        </w:rPr>
      </w:pPr>
    </w:p>
    <w:p w14:paraId="42067324" w14:textId="77777777" w:rsidR="00EB5AB2" w:rsidRDefault="00EB5AB2">
      <w:pPr>
        <w:rPr>
          <w:rFonts w:ascii="Century Gothic" w:hAnsi="Century Gothic"/>
          <w:lang w:val="en-IE"/>
        </w:rPr>
      </w:pPr>
    </w:p>
    <w:p w14:paraId="0C7C0E76" w14:textId="77777777" w:rsidR="00EB5AB2" w:rsidRDefault="00EB5AB2">
      <w:pPr>
        <w:rPr>
          <w:rFonts w:ascii="Century Gothic" w:hAnsi="Century Gothic"/>
          <w:lang w:val="en-IE"/>
        </w:rPr>
      </w:pPr>
    </w:p>
    <w:p w14:paraId="0E438B4E" w14:textId="77777777" w:rsidR="00EB5AB2" w:rsidRDefault="00EB5AB2">
      <w:pPr>
        <w:rPr>
          <w:rFonts w:ascii="Century Gothic" w:hAnsi="Century Gothic"/>
          <w:lang w:val="en-IE"/>
        </w:rPr>
      </w:pPr>
    </w:p>
    <w:p w14:paraId="5043D8EC" w14:textId="77777777" w:rsidR="00EB5AB2" w:rsidRDefault="00EB5AB2">
      <w:pPr>
        <w:rPr>
          <w:rFonts w:ascii="Century Gothic" w:hAnsi="Century Gothic"/>
          <w:lang w:val="en-IE"/>
        </w:rPr>
      </w:pPr>
    </w:p>
    <w:p w14:paraId="55E5A84E" w14:textId="77777777" w:rsidR="00EB5AB2" w:rsidRDefault="00EB5AB2">
      <w:pPr>
        <w:rPr>
          <w:rFonts w:ascii="Century Gothic" w:hAnsi="Century Gothic"/>
          <w:lang w:val="en-IE"/>
        </w:rPr>
      </w:pPr>
    </w:p>
    <w:p w14:paraId="6676989E" w14:textId="77777777" w:rsidR="00EB5AB2" w:rsidRDefault="00EB5AB2">
      <w:pPr>
        <w:rPr>
          <w:rFonts w:ascii="Century Gothic" w:hAnsi="Century Gothic"/>
          <w:lang w:val="en-IE"/>
        </w:rPr>
      </w:pPr>
    </w:p>
    <w:p w14:paraId="6EC9CEE5" w14:textId="77777777" w:rsidR="00EB5AB2" w:rsidRDefault="00EB5AB2">
      <w:pPr>
        <w:rPr>
          <w:rFonts w:ascii="Century Gothic" w:hAnsi="Century Gothic"/>
          <w:lang w:val="en-IE"/>
        </w:rPr>
      </w:pPr>
    </w:p>
    <w:p w14:paraId="4F131DCD" w14:textId="77777777" w:rsidR="00EB5AB2" w:rsidRDefault="00EB5AB2">
      <w:pPr>
        <w:rPr>
          <w:rFonts w:ascii="Century Gothic" w:hAnsi="Century Gothic"/>
          <w:lang w:val="en-IE"/>
        </w:rPr>
      </w:pPr>
    </w:p>
    <w:p w14:paraId="2B6B2FFE" w14:textId="77777777" w:rsidR="00EB5AB2" w:rsidRDefault="00EB5AB2">
      <w:pPr>
        <w:rPr>
          <w:rFonts w:ascii="Century Gothic" w:hAnsi="Century Gothic"/>
          <w:lang w:val="en-IE"/>
        </w:rPr>
      </w:pPr>
    </w:p>
    <w:p w14:paraId="4A1CFA0A" w14:textId="77777777" w:rsidR="00EB5AB2" w:rsidRDefault="00EB5AB2">
      <w:pPr>
        <w:rPr>
          <w:rFonts w:ascii="Century Gothic" w:hAnsi="Century Gothic"/>
          <w:lang w:val="en-IE"/>
        </w:rPr>
      </w:pPr>
    </w:p>
    <w:p w14:paraId="54B13882" w14:textId="77777777" w:rsidR="00EB5AB2" w:rsidRDefault="00EB5AB2">
      <w:pPr>
        <w:rPr>
          <w:rFonts w:ascii="Century Gothic" w:hAnsi="Century Gothic"/>
          <w:lang w:val="en-IE"/>
        </w:rPr>
      </w:pPr>
    </w:p>
    <w:p w14:paraId="2DD1BC21" w14:textId="77777777" w:rsidR="00EB5AB2" w:rsidRDefault="00EB5AB2">
      <w:pPr>
        <w:rPr>
          <w:rFonts w:ascii="Century Gothic" w:hAnsi="Century Gothic"/>
          <w:lang w:val="en-IE"/>
        </w:rPr>
      </w:pPr>
    </w:p>
    <w:p w14:paraId="622AFCDA" w14:textId="77777777" w:rsidR="00EB5AB2" w:rsidRDefault="00EB5AB2">
      <w:pPr>
        <w:rPr>
          <w:rFonts w:ascii="Century Gothic" w:hAnsi="Century Gothic"/>
          <w:lang w:val="en-IE"/>
        </w:rPr>
      </w:pPr>
    </w:p>
    <w:p w14:paraId="2633203F" w14:textId="77777777" w:rsidR="00EB5AB2" w:rsidRDefault="00EB5AB2">
      <w:pPr>
        <w:rPr>
          <w:rFonts w:ascii="Century Gothic" w:hAnsi="Century Gothic"/>
          <w:lang w:val="en-IE"/>
        </w:rPr>
      </w:pPr>
    </w:p>
    <w:p w14:paraId="1268DDB1" w14:textId="77777777" w:rsidR="00EB5AB2" w:rsidRDefault="002A555A">
      <w:pPr>
        <w:jc w:val="center"/>
        <w:rPr>
          <w:rFonts w:ascii="Century Gothic" w:hAnsi="Century Gothic"/>
          <w:lang w:val="en-IE"/>
        </w:rPr>
      </w:pPr>
      <w:r>
        <w:rPr>
          <w:rFonts w:ascii="Century Gothic" w:hAnsi="Century Gothic"/>
          <w:lang w:val="en-IE"/>
        </w:rPr>
        <w:t>As</w:t>
      </w:r>
      <w:r w:rsidR="00EB5AB2">
        <w:rPr>
          <w:rFonts w:ascii="Century Gothic" w:hAnsi="Century Gothic"/>
          <w:lang w:val="en-IE"/>
        </w:rPr>
        <w:t xml:space="preserve"> submitted to the National Oversight and Audit Commission</w:t>
      </w:r>
      <w:r w:rsidR="00EB5AB2">
        <w:rPr>
          <w:rFonts w:ascii="Century Gothic" w:hAnsi="Century Gothic"/>
          <w:lang w:val="en-IE"/>
        </w:rPr>
        <w:br/>
        <w:t>in compliance with the Public Spending Code</w:t>
      </w:r>
    </w:p>
    <w:p w14:paraId="5C0D89BE" w14:textId="77777777" w:rsidR="00EB5AB2" w:rsidRDefault="00EB5AB2">
      <w:pPr>
        <w:rPr>
          <w:rFonts w:ascii="Century Gothic" w:hAnsi="Century Gothic"/>
          <w:lang w:val="en-IE"/>
        </w:rPr>
      </w:pPr>
    </w:p>
    <w:p w14:paraId="0E6A31F1" w14:textId="77777777" w:rsidR="00EB5AB2" w:rsidRDefault="00EB5AB2">
      <w:pPr>
        <w:rPr>
          <w:rFonts w:ascii="Century Gothic" w:hAnsi="Century Gothic"/>
          <w:lang w:val="en-IE"/>
        </w:rPr>
      </w:pPr>
    </w:p>
    <w:p w14:paraId="1B0A9DF4" w14:textId="77777777" w:rsidR="00EB5AB2" w:rsidRDefault="00EB5AB2">
      <w:pPr>
        <w:rPr>
          <w:rFonts w:ascii="Century Gothic" w:hAnsi="Century Gothic"/>
          <w:lang w:val="en-IE"/>
        </w:rPr>
      </w:pPr>
    </w:p>
    <w:p w14:paraId="015A6459" w14:textId="77777777" w:rsidR="00EB5AB2" w:rsidRDefault="00EB5AB2">
      <w:pPr>
        <w:rPr>
          <w:rFonts w:ascii="Century Gothic" w:hAnsi="Century Gothic"/>
          <w:lang w:val="en-IE"/>
        </w:rPr>
      </w:pPr>
    </w:p>
    <w:p w14:paraId="03C8617C" w14:textId="77777777" w:rsidR="00EB5AB2" w:rsidRDefault="00EB5AB2">
      <w:pPr>
        <w:rPr>
          <w:rFonts w:ascii="Century Gothic" w:hAnsi="Century Gothic"/>
          <w:lang w:val="en-IE"/>
        </w:rPr>
      </w:pPr>
    </w:p>
    <w:p w14:paraId="39507989" w14:textId="77777777" w:rsidR="00EB5AB2" w:rsidRDefault="00EB5AB2">
      <w:pPr>
        <w:rPr>
          <w:rFonts w:ascii="Century Gothic" w:hAnsi="Century Gothic"/>
          <w:lang w:val="en-IE"/>
        </w:rPr>
      </w:pPr>
    </w:p>
    <w:p w14:paraId="5F53578A" w14:textId="77777777" w:rsidR="00EB5AB2" w:rsidRDefault="00EB5AB2">
      <w:pPr>
        <w:pStyle w:val="Heading2"/>
      </w:pPr>
    </w:p>
    <w:p w14:paraId="1B5230C3" w14:textId="77777777" w:rsidR="00EB5AB2" w:rsidRDefault="00EB5AB2">
      <w:pPr>
        <w:pStyle w:val="Heading2"/>
      </w:pPr>
    </w:p>
    <w:p w14:paraId="3B256455" w14:textId="77777777" w:rsidR="00EB5AB2" w:rsidRDefault="00EB5AB2">
      <w:pPr>
        <w:pStyle w:val="Heading2"/>
      </w:pPr>
      <w:r>
        <w:t>Certification</w:t>
      </w:r>
    </w:p>
    <w:p w14:paraId="2486F343" w14:textId="77777777" w:rsidR="00EB5AB2" w:rsidRDefault="00EB5AB2">
      <w:pPr>
        <w:jc w:val="both"/>
        <w:rPr>
          <w:rFonts w:ascii="Century Gothic" w:hAnsi="Century Gothic"/>
          <w:b/>
          <w:sz w:val="32"/>
          <w:u w:val="single"/>
          <w:lang w:val="en-IE"/>
        </w:rPr>
      </w:pPr>
    </w:p>
    <w:p w14:paraId="682F17C5" w14:textId="77777777" w:rsidR="00EB5AB2" w:rsidRDefault="00EB5AB2">
      <w:pPr>
        <w:spacing w:line="360" w:lineRule="auto"/>
        <w:jc w:val="both"/>
        <w:rPr>
          <w:rFonts w:ascii="Century Gothic" w:hAnsi="Century Gothic"/>
          <w:lang w:val="en-IE"/>
        </w:rPr>
      </w:pPr>
      <w:r>
        <w:rPr>
          <w:rFonts w:ascii="Century Gothic" w:hAnsi="Century Gothic"/>
          <w:lang w:val="en-IE"/>
        </w:rPr>
        <w:t>This Annual Quality Assurance Report reflects the Galway City Council’s assessment of compliance with the Public Spending Code.  It is based on the best financial, organisational and performance related information available across the various areas of responsibility.</w:t>
      </w:r>
    </w:p>
    <w:p w14:paraId="71AFD6E0" w14:textId="77777777" w:rsidR="00EB5AB2" w:rsidRDefault="00EB5AB2">
      <w:pPr>
        <w:spacing w:line="360" w:lineRule="auto"/>
        <w:rPr>
          <w:rFonts w:ascii="Century Gothic" w:hAnsi="Century Gothic"/>
          <w:lang w:val="en-IE"/>
        </w:rPr>
      </w:pPr>
    </w:p>
    <w:p w14:paraId="01D34850" w14:textId="77777777" w:rsidR="00EB5AB2" w:rsidRDefault="00EB5AB2">
      <w:pPr>
        <w:spacing w:line="360" w:lineRule="auto"/>
        <w:rPr>
          <w:rFonts w:ascii="Century Gothic" w:hAnsi="Century Gothic"/>
          <w:lang w:val="en-IE"/>
        </w:rPr>
      </w:pPr>
    </w:p>
    <w:p w14:paraId="2189DF22" w14:textId="77777777" w:rsidR="00EB5AB2" w:rsidRDefault="00EB5AB2">
      <w:pPr>
        <w:spacing w:line="360" w:lineRule="auto"/>
        <w:rPr>
          <w:rFonts w:ascii="Century Gothic" w:hAnsi="Century Gothic"/>
          <w:lang w:val="en-IE"/>
        </w:rPr>
      </w:pPr>
    </w:p>
    <w:p w14:paraId="4141EC6D" w14:textId="77777777" w:rsidR="00EB5AB2" w:rsidRDefault="00EB5AB2">
      <w:pPr>
        <w:spacing w:line="360" w:lineRule="auto"/>
        <w:rPr>
          <w:rFonts w:ascii="Century Gothic" w:hAnsi="Century Gothic"/>
          <w:lang w:val="en-IE"/>
        </w:rPr>
      </w:pPr>
    </w:p>
    <w:p w14:paraId="1917F09C" w14:textId="77777777" w:rsidR="00EB5AB2" w:rsidRDefault="00EB5AB2">
      <w:pPr>
        <w:spacing w:line="360" w:lineRule="auto"/>
        <w:rPr>
          <w:rFonts w:ascii="Century Gothic" w:hAnsi="Century Gothic"/>
          <w:lang w:val="en-IE"/>
        </w:rPr>
      </w:pPr>
    </w:p>
    <w:p w14:paraId="46765070" w14:textId="77777777" w:rsidR="00EB5AB2" w:rsidRDefault="00EB5AB2">
      <w:pPr>
        <w:spacing w:line="360" w:lineRule="auto"/>
        <w:rPr>
          <w:rFonts w:ascii="Century Gothic" w:hAnsi="Century Gothic"/>
          <w:lang w:val="en-IE"/>
        </w:rPr>
      </w:pPr>
    </w:p>
    <w:p w14:paraId="43F8A244" w14:textId="77777777" w:rsidR="00EB5AB2" w:rsidRDefault="00EB5AB2">
      <w:pPr>
        <w:pStyle w:val="Footer"/>
        <w:tabs>
          <w:tab w:val="clear" w:pos="4153"/>
          <w:tab w:val="clear" w:pos="8306"/>
        </w:tabs>
        <w:spacing w:line="360" w:lineRule="auto"/>
        <w:rPr>
          <w:rFonts w:ascii="Century Gothic" w:hAnsi="Century Gothic"/>
          <w:lang w:val="en-IE"/>
        </w:rPr>
      </w:pPr>
    </w:p>
    <w:p w14:paraId="3475F2C8" w14:textId="77777777" w:rsidR="00085360" w:rsidRDefault="00085360">
      <w:pPr>
        <w:spacing w:line="360" w:lineRule="auto"/>
        <w:rPr>
          <w:noProof/>
          <w:lang w:val="en-IE"/>
        </w:rPr>
      </w:pPr>
    </w:p>
    <w:p w14:paraId="2BEFA199" w14:textId="77777777" w:rsidR="00085360" w:rsidRDefault="00085360">
      <w:pPr>
        <w:spacing w:line="360" w:lineRule="auto"/>
        <w:rPr>
          <w:noProof/>
          <w:lang w:val="en-IE"/>
        </w:rPr>
      </w:pPr>
    </w:p>
    <w:p w14:paraId="2317343D" w14:textId="77777777" w:rsidR="00300230" w:rsidRDefault="00300230">
      <w:pPr>
        <w:spacing w:line="360" w:lineRule="auto"/>
        <w:rPr>
          <w:noProof/>
          <w:lang w:val="en-IE"/>
        </w:rPr>
      </w:pPr>
    </w:p>
    <w:p w14:paraId="4C3BD0D7" w14:textId="77777777" w:rsidR="00300230" w:rsidRDefault="00300230">
      <w:pPr>
        <w:spacing w:line="360" w:lineRule="auto"/>
        <w:rPr>
          <w:noProof/>
          <w:lang w:val="en-IE"/>
        </w:rPr>
      </w:pPr>
    </w:p>
    <w:p w14:paraId="2DC7A94A" w14:textId="77777777" w:rsidR="00300230" w:rsidRDefault="00300230">
      <w:pPr>
        <w:spacing w:line="360" w:lineRule="auto"/>
        <w:rPr>
          <w:noProof/>
          <w:lang w:val="en-IE"/>
        </w:rPr>
      </w:pPr>
    </w:p>
    <w:p w14:paraId="5FB645E9" w14:textId="77777777" w:rsidR="00300230" w:rsidRDefault="00300230">
      <w:pPr>
        <w:spacing w:line="360" w:lineRule="auto"/>
        <w:rPr>
          <w:noProof/>
          <w:lang w:val="en-IE"/>
        </w:rPr>
      </w:pPr>
    </w:p>
    <w:p w14:paraId="6EA4E72A" w14:textId="77777777" w:rsidR="00300230" w:rsidRDefault="00300230">
      <w:pPr>
        <w:spacing w:line="360" w:lineRule="auto"/>
        <w:rPr>
          <w:noProof/>
          <w:lang w:val="en-IE"/>
        </w:rPr>
      </w:pPr>
    </w:p>
    <w:p w14:paraId="47452933" w14:textId="77777777" w:rsidR="00085360" w:rsidRDefault="00085360">
      <w:pPr>
        <w:spacing w:line="360" w:lineRule="auto"/>
        <w:rPr>
          <w:noProof/>
          <w:lang w:val="en-IE"/>
        </w:rPr>
      </w:pPr>
    </w:p>
    <w:p w14:paraId="434A5594" w14:textId="77777777" w:rsidR="00085360" w:rsidRDefault="00085360">
      <w:pPr>
        <w:spacing w:line="360" w:lineRule="auto"/>
        <w:rPr>
          <w:noProof/>
          <w:lang w:val="en-IE"/>
        </w:rPr>
      </w:pPr>
    </w:p>
    <w:p w14:paraId="15C1F69E" w14:textId="77777777" w:rsidR="00085360" w:rsidRPr="00300230" w:rsidRDefault="00300230">
      <w:pPr>
        <w:spacing w:line="360" w:lineRule="auto"/>
        <w:rPr>
          <w:rFonts w:ascii="Century Gothic" w:hAnsi="Century Gothic"/>
          <w:b/>
          <w:lang w:val="en-IE"/>
        </w:rPr>
      </w:pPr>
      <w:r>
        <w:rPr>
          <w:rFonts w:ascii="Century Gothic" w:hAnsi="Century Gothic"/>
          <w:b/>
          <w:lang w:val="en-IE"/>
        </w:rPr>
        <w:t xml:space="preserve">   ________________________</w:t>
      </w:r>
    </w:p>
    <w:p w14:paraId="4D1EDBCC" w14:textId="58B8E477" w:rsidR="00085360" w:rsidRPr="00300230" w:rsidRDefault="00300230">
      <w:pPr>
        <w:spacing w:line="360" w:lineRule="auto"/>
        <w:rPr>
          <w:rFonts w:ascii="Century Gothic" w:hAnsi="Century Gothic"/>
          <w:b/>
          <w:lang w:val="en-IE"/>
        </w:rPr>
      </w:pPr>
      <w:r>
        <w:rPr>
          <w:rFonts w:ascii="Century Gothic" w:hAnsi="Century Gothic"/>
          <w:b/>
          <w:lang w:val="en-IE"/>
        </w:rPr>
        <w:t xml:space="preserve">   </w:t>
      </w:r>
      <w:r w:rsidR="00431930">
        <w:rPr>
          <w:rFonts w:ascii="Century Gothic" w:hAnsi="Century Gothic"/>
          <w:b/>
          <w:lang w:val="en-IE"/>
        </w:rPr>
        <w:t>Patricia Philbin</w:t>
      </w:r>
      <w:r w:rsidRPr="00300230">
        <w:rPr>
          <w:rFonts w:ascii="Century Gothic" w:hAnsi="Century Gothic"/>
          <w:b/>
          <w:lang w:val="en-IE"/>
        </w:rPr>
        <w:t>,</w:t>
      </w:r>
    </w:p>
    <w:p w14:paraId="33E2F721" w14:textId="3AD8C2E6" w:rsidR="00300230" w:rsidRPr="00300230" w:rsidRDefault="00300230">
      <w:pPr>
        <w:spacing w:line="360" w:lineRule="auto"/>
        <w:rPr>
          <w:rFonts w:ascii="Century Gothic" w:hAnsi="Century Gothic"/>
          <w:b/>
          <w:lang w:val="en-IE"/>
        </w:rPr>
      </w:pPr>
      <w:r>
        <w:rPr>
          <w:rFonts w:ascii="Century Gothic" w:hAnsi="Century Gothic"/>
          <w:b/>
          <w:lang w:val="en-IE"/>
        </w:rPr>
        <w:t xml:space="preserve">   </w:t>
      </w:r>
      <w:r w:rsidR="00431930">
        <w:rPr>
          <w:rFonts w:ascii="Century Gothic" w:hAnsi="Century Gothic"/>
          <w:b/>
          <w:lang w:val="en-IE"/>
        </w:rPr>
        <w:t xml:space="preserve">Interim </w:t>
      </w:r>
      <w:r w:rsidRPr="00300230">
        <w:rPr>
          <w:rFonts w:ascii="Century Gothic" w:hAnsi="Century Gothic"/>
          <w:b/>
          <w:lang w:val="en-IE"/>
        </w:rPr>
        <w:t>Chief Executive.</w:t>
      </w:r>
    </w:p>
    <w:p w14:paraId="252F748C" w14:textId="77777777" w:rsidR="00085360" w:rsidRDefault="00085360">
      <w:pPr>
        <w:spacing w:line="360" w:lineRule="auto"/>
        <w:rPr>
          <w:rFonts w:ascii="Century Gothic" w:hAnsi="Century Gothic"/>
          <w:b/>
          <w:lang w:val="en-IE"/>
        </w:rPr>
      </w:pPr>
    </w:p>
    <w:p w14:paraId="2896E43F" w14:textId="4A768166" w:rsidR="00EB5AB2" w:rsidRPr="00710139" w:rsidRDefault="00D536B8">
      <w:pPr>
        <w:spacing w:line="360" w:lineRule="auto"/>
        <w:rPr>
          <w:rFonts w:ascii="Century Gothic" w:hAnsi="Century Gothic"/>
          <w:b/>
          <w:u w:val="single"/>
          <w:lang w:val="en-IE"/>
        </w:rPr>
      </w:pPr>
      <w:r>
        <w:rPr>
          <w:rFonts w:ascii="Century Gothic" w:hAnsi="Century Gothic"/>
          <w:b/>
          <w:lang w:val="en-IE"/>
        </w:rPr>
        <w:t xml:space="preserve">  </w:t>
      </w:r>
      <w:r>
        <w:rPr>
          <w:rFonts w:ascii="Century Gothic" w:hAnsi="Century Gothic"/>
          <w:b/>
          <w:sz w:val="16"/>
          <w:szCs w:val="16"/>
          <w:lang w:val="en-IE"/>
        </w:rPr>
        <w:t xml:space="preserve"> </w:t>
      </w:r>
      <w:r w:rsidR="00EB5AB2">
        <w:rPr>
          <w:rFonts w:ascii="Century Gothic" w:hAnsi="Century Gothic"/>
          <w:b/>
          <w:lang w:val="en-IE"/>
        </w:rPr>
        <w:t xml:space="preserve">Dated:  </w:t>
      </w:r>
      <w:r w:rsidR="0058397B" w:rsidRPr="0058397B">
        <w:rPr>
          <w:rFonts w:ascii="Century Gothic" w:hAnsi="Century Gothic"/>
          <w:b/>
          <w:u w:val="single"/>
          <w:lang w:val="en-IE"/>
        </w:rPr>
        <w:t>10</w:t>
      </w:r>
      <w:r w:rsidR="0058397B" w:rsidRPr="0058397B">
        <w:rPr>
          <w:rFonts w:ascii="Century Gothic" w:hAnsi="Century Gothic"/>
          <w:b/>
          <w:u w:val="single"/>
          <w:vertAlign w:val="superscript"/>
          <w:lang w:val="en-IE"/>
        </w:rPr>
        <w:t>th</w:t>
      </w:r>
      <w:r w:rsidR="0058397B" w:rsidRPr="0058397B">
        <w:rPr>
          <w:rFonts w:ascii="Century Gothic" w:hAnsi="Century Gothic"/>
          <w:b/>
          <w:u w:val="single"/>
          <w:lang w:val="en-IE"/>
        </w:rPr>
        <w:t xml:space="preserve"> </w:t>
      </w:r>
      <w:r w:rsidR="00B94286">
        <w:rPr>
          <w:rFonts w:ascii="Century Gothic" w:hAnsi="Century Gothic"/>
          <w:b/>
          <w:u w:val="single"/>
          <w:lang w:val="en-IE"/>
        </w:rPr>
        <w:t>August</w:t>
      </w:r>
      <w:r w:rsidR="0045230F">
        <w:rPr>
          <w:rFonts w:ascii="Century Gothic" w:hAnsi="Century Gothic"/>
          <w:b/>
          <w:u w:val="single"/>
          <w:lang w:val="en-IE"/>
        </w:rPr>
        <w:t xml:space="preserve"> 202</w:t>
      </w:r>
      <w:r w:rsidR="008F2D8D">
        <w:rPr>
          <w:rFonts w:ascii="Century Gothic" w:hAnsi="Century Gothic"/>
          <w:b/>
          <w:u w:val="single"/>
          <w:lang w:val="en-IE"/>
        </w:rPr>
        <w:t>3</w:t>
      </w:r>
    </w:p>
    <w:p w14:paraId="3FBF0001" w14:textId="77777777" w:rsidR="00EB5AB2" w:rsidRDefault="00EB5AB2">
      <w:pPr>
        <w:rPr>
          <w:rFonts w:ascii="Century Gothic" w:hAnsi="Century Gothic"/>
          <w:b/>
          <w:lang w:val="en-IE"/>
        </w:rPr>
      </w:pPr>
    </w:p>
    <w:p w14:paraId="1D700C45" w14:textId="77777777" w:rsidR="00EB5AB2" w:rsidRDefault="00EB5AB2">
      <w:pPr>
        <w:rPr>
          <w:rFonts w:ascii="Century Gothic" w:hAnsi="Century Gothic"/>
          <w:b/>
          <w:lang w:val="en-IE"/>
        </w:rPr>
      </w:pPr>
    </w:p>
    <w:p w14:paraId="6E9367BD" w14:textId="77777777" w:rsidR="00EB5AB2" w:rsidRDefault="00EB5AB2">
      <w:pPr>
        <w:rPr>
          <w:rFonts w:ascii="Century Gothic" w:hAnsi="Century Gothic"/>
          <w:b/>
          <w:lang w:val="en-IE"/>
        </w:rPr>
      </w:pPr>
    </w:p>
    <w:p w14:paraId="27FFB21A" w14:textId="77777777" w:rsidR="00EB5AB2" w:rsidRDefault="00EB5AB2">
      <w:pPr>
        <w:rPr>
          <w:rFonts w:ascii="Century Gothic" w:hAnsi="Century Gothic"/>
          <w:b/>
          <w:lang w:val="en-IE"/>
        </w:rPr>
      </w:pPr>
    </w:p>
    <w:p w14:paraId="17604D6A" w14:textId="77777777" w:rsidR="00EB5AB2" w:rsidRDefault="00EB5AB2">
      <w:pPr>
        <w:rPr>
          <w:rFonts w:ascii="Century Gothic" w:hAnsi="Century Gothic"/>
          <w:b/>
          <w:lang w:val="en-IE"/>
        </w:rPr>
      </w:pPr>
    </w:p>
    <w:p w14:paraId="6486974C" w14:textId="77777777" w:rsidR="00EB5AB2" w:rsidRDefault="00EB5AB2">
      <w:pPr>
        <w:rPr>
          <w:rFonts w:ascii="Century Gothic" w:hAnsi="Century Gothic"/>
          <w:b/>
          <w:lang w:val="en-IE"/>
        </w:rPr>
      </w:pPr>
    </w:p>
    <w:p w14:paraId="1A673CDE" w14:textId="77777777" w:rsidR="00EB5AB2" w:rsidRDefault="00EB5AB2">
      <w:pPr>
        <w:pStyle w:val="Heading3"/>
      </w:pPr>
      <w:r>
        <w:t>Part A – Introduction</w:t>
      </w:r>
    </w:p>
    <w:p w14:paraId="0596C69A" w14:textId="77777777" w:rsidR="00EB5AB2" w:rsidRDefault="00EB5AB2">
      <w:pPr>
        <w:rPr>
          <w:rFonts w:ascii="Century Gothic" w:hAnsi="Century Gothic"/>
          <w:lang w:val="en-IE"/>
        </w:rPr>
      </w:pPr>
    </w:p>
    <w:p w14:paraId="044DAD08" w14:textId="77777777" w:rsidR="00EB5AB2" w:rsidRDefault="00EB5AB2">
      <w:pPr>
        <w:jc w:val="both"/>
        <w:rPr>
          <w:rFonts w:ascii="Century Gothic" w:hAnsi="Century Gothic"/>
          <w:lang w:val="en-IE"/>
        </w:rPr>
      </w:pPr>
    </w:p>
    <w:p w14:paraId="32F3D064" w14:textId="77777777" w:rsidR="00EB5AB2" w:rsidRDefault="00EB5AB2">
      <w:pPr>
        <w:pStyle w:val="BodyText"/>
      </w:pPr>
      <w:r>
        <w:t>Galway City Council has completed this Quality Assurance (QA) Report as part of its compliance with the Public Spending Code (PSC).</w:t>
      </w:r>
    </w:p>
    <w:p w14:paraId="4E8E66EA" w14:textId="77777777" w:rsidR="00EB5AB2" w:rsidRDefault="00EB5AB2">
      <w:pPr>
        <w:jc w:val="both"/>
        <w:rPr>
          <w:rFonts w:ascii="Century Gothic" w:hAnsi="Century Gothic"/>
          <w:lang w:val="en-IE"/>
        </w:rPr>
      </w:pPr>
    </w:p>
    <w:p w14:paraId="480F1000" w14:textId="77777777" w:rsidR="00EB5AB2" w:rsidRDefault="00EB5AB2">
      <w:pPr>
        <w:pStyle w:val="BodyText"/>
      </w:pPr>
      <w:r>
        <w:t>The Quality Assurance procedure aims to gauge the extent to which Galway City Council and its associated agencies are meeting the obligations set out in the Public Spending Code.  The Public Spending Code seeks to ensure th</w:t>
      </w:r>
      <w:r w:rsidR="00DE4557">
        <w:t>at all branches of the state</w:t>
      </w:r>
      <w:r w:rsidR="006F0E5E">
        <w:t xml:space="preserve"> </w:t>
      </w:r>
      <w:r>
        <w:t xml:space="preserve">achieve </w:t>
      </w:r>
      <w:r w:rsidR="006F0E5E">
        <w:t xml:space="preserve">effective expenditure and </w:t>
      </w:r>
      <w:r>
        <w:t>value for money in the use of all public funds.</w:t>
      </w:r>
    </w:p>
    <w:p w14:paraId="04E5A68C" w14:textId="77777777" w:rsidR="00EB5AB2" w:rsidRDefault="00EB5AB2">
      <w:pPr>
        <w:jc w:val="both"/>
        <w:rPr>
          <w:rFonts w:ascii="Century Gothic" w:hAnsi="Century Gothic"/>
          <w:lang w:val="en-IE"/>
        </w:rPr>
      </w:pPr>
    </w:p>
    <w:p w14:paraId="7932F477" w14:textId="77777777" w:rsidR="00EB5AB2" w:rsidRDefault="00EB5AB2">
      <w:pPr>
        <w:pStyle w:val="BodyText"/>
      </w:pPr>
      <w:r>
        <w:t>The Quality Assurance Process contains five steps:</w:t>
      </w:r>
    </w:p>
    <w:p w14:paraId="32D96E7F" w14:textId="77777777" w:rsidR="00EB5AB2" w:rsidRDefault="00EB5AB2">
      <w:pPr>
        <w:jc w:val="both"/>
        <w:rPr>
          <w:rFonts w:ascii="Century Gothic" w:hAnsi="Century Gothic"/>
          <w:lang w:val="en-IE"/>
        </w:rPr>
      </w:pPr>
    </w:p>
    <w:p w14:paraId="5A70BBF4" w14:textId="0BA96B65" w:rsidR="00EB5AB2" w:rsidRDefault="00EB5AB2">
      <w:pPr>
        <w:numPr>
          <w:ilvl w:val="0"/>
          <w:numId w:val="1"/>
        </w:numPr>
        <w:jc w:val="both"/>
        <w:rPr>
          <w:rFonts w:ascii="Century Gothic" w:hAnsi="Century Gothic"/>
          <w:lang w:val="en-IE"/>
        </w:rPr>
      </w:pPr>
      <w:r>
        <w:rPr>
          <w:rFonts w:ascii="Century Gothic" w:hAnsi="Century Gothic"/>
          <w:b/>
          <w:lang w:val="en-IE"/>
        </w:rPr>
        <w:t>Draw up Inventories of all projects / programmes at different stages of the Project Life Cycle</w:t>
      </w:r>
      <w:r>
        <w:rPr>
          <w:rFonts w:ascii="Century Gothic" w:hAnsi="Century Gothic"/>
          <w:lang w:val="en-IE"/>
        </w:rPr>
        <w:t xml:space="preserve"> (appraisal, planning/design, implementation, post implementation).  The three sections are </w:t>
      </w:r>
      <w:r w:rsidRPr="00923157">
        <w:rPr>
          <w:rFonts w:ascii="Century Gothic" w:hAnsi="Century Gothic"/>
          <w:u w:val="single"/>
          <w:lang w:val="en-IE"/>
        </w:rPr>
        <w:t>expenditure being considered</w:t>
      </w:r>
      <w:r>
        <w:rPr>
          <w:rFonts w:ascii="Century Gothic" w:hAnsi="Century Gothic"/>
          <w:lang w:val="en-IE"/>
        </w:rPr>
        <w:t xml:space="preserve">, </w:t>
      </w:r>
      <w:r w:rsidRPr="00923157">
        <w:rPr>
          <w:rFonts w:ascii="Century Gothic" w:hAnsi="Century Gothic"/>
          <w:u w:val="single"/>
          <w:lang w:val="en-IE"/>
        </w:rPr>
        <w:t xml:space="preserve">expenditure being </w:t>
      </w:r>
      <w:proofErr w:type="gramStart"/>
      <w:r w:rsidRPr="00923157">
        <w:rPr>
          <w:rFonts w:ascii="Century Gothic" w:hAnsi="Century Gothic"/>
          <w:u w:val="single"/>
          <w:lang w:val="en-IE"/>
        </w:rPr>
        <w:t>incurred</w:t>
      </w:r>
      <w:proofErr w:type="gramEnd"/>
      <w:r>
        <w:rPr>
          <w:rFonts w:ascii="Century Gothic" w:hAnsi="Century Gothic"/>
          <w:lang w:val="en-IE"/>
        </w:rPr>
        <w:t xml:space="preserve"> and </w:t>
      </w:r>
      <w:r w:rsidRPr="00923157">
        <w:rPr>
          <w:rFonts w:ascii="Century Gothic" w:hAnsi="Century Gothic"/>
          <w:u w:val="single"/>
          <w:lang w:val="en-IE"/>
        </w:rPr>
        <w:t xml:space="preserve">expenditure </w:t>
      </w:r>
      <w:r w:rsidR="00923157" w:rsidRPr="00923157">
        <w:rPr>
          <w:rFonts w:ascii="Century Gothic" w:hAnsi="Century Gothic"/>
          <w:u w:val="single"/>
          <w:lang w:val="en-IE"/>
        </w:rPr>
        <w:t>r</w:t>
      </w:r>
      <w:r w:rsidRPr="00923157">
        <w:rPr>
          <w:rFonts w:ascii="Century Gothic" w:hAnsi="Century Gothic"/>
          <w:u w:val="single"/>
          <w:lang w:val="en-IE"/>
        </w:rPr>
        <w:t>ecently ended</w:t>
      </w:r>
      <w:r>
        <w:rPr>
          <w:rFonts w:ascii="Century Gothic" w:hAnsi="Century Gothic"/>
          <w:lang w:val="en-IE"/>
        </w:rPr>
        <w:t xml:space="preserve">.  The inventory includes all projects above €0.5m in </w:t>
      </w:r>
      <w:r w:rsidR="00923157">
        <w:rPr>
          <w:rFonts w:ascii="Century Gothic" w:hAnsi="Century Gothic"/>
          <w:lang w:val="en-IE"/>
        </w:rPr>
        <w:t xml:space="preserve">either total capital cost, or revenue cost for </w:t>
      </w:r>
      <w:r w:rsidR="0045230F">
        <w:rPr>
          <w:rFonts w:ascii="Century Gothic" w:hAnsi="Century Gothic"/>
          <w:lang w:val="en-IE"/>
        </w:rPr>
        <w:t>202</w:t>
      </w:r>
      <w:r w:rsidR="008F2D8D">
        <w:rPr>
          <w:rFonts w:ascii="Century Gothic" w:hAnsi="Century Gothic"/>
          <w:lang w:val="en-IE"/>
        </w:rPr>
        <w:t>2</w:t>
      </w:r>
      <w:r>
        <w:rPr>
          <w:rFonts w:ascii="Century Gothic" w:hAnsi="Century Gothic"/>
          <w:lang w:val="en-IE"/>
        </w:rPr>
        <w:t>.</w:t>
      </w:r>
    </w:p>
    <w:p w14:paraId="31E753DC" w14:textId="77777777" w:rsidR="00EB5AB2" w:rsidRDefault="00EB5AB2">
      <w:pPr>
        <w:jc w:val="both"/>
        <w:rPr>
          <w:rFonts w:ascii="Century Gothic" w:hAnsi="Century Gothic"/>
          <w:lang w:val="en-IE"/>
        </w:rPr>
      </w:pPr>
    </w:p>
    <w:p w14:paraId="1288FF0F" w14:textId="77777777" w:rsidR="00EB5AB2" w:rsidRDefault="00EB5AB2">
      <w:pPr>
        <w:numPr>
          <w:ilvl w:val="0"/>
          <w:numId w:val="1"/>
        </w:numPr>
        <w:jc w:val="both"/>
        <w:rPr>
          <w:rFonts w:ascii="Century Gothic" w:hAnsi="Century Gothic"/>
          <w:lang w:val="en-IE"/>
        </w:rPr>
      </w:pPr>
      <w:r>
        <w:rPr>
          <w:rFonts w:ascii="Century Gothic" w:hAnsi="Century Gothic"/>
          <w:b/>
          <w:lang w:val="en-IE"/>
        </w:rPr>
        <w:t xml:space="preserve">Publish summary information on website of all procurements </w:t>
      </w:r>
      <w:proofErr w:type="gramStart"/>
      <w:r>
        <w:rPr>
          <w:rFonts w:ascii="Century Gothic" w:hAnsi="Century Gothic"/>
          <w:b/>
          <w:lang w:val="en-IE"/>
        </w:rPr>
        <w:t>in excess of</w:t>
      </w:r>
      <w:proofErr w:type="gramEnd"/>
      <w:r>
        <w:rPr>
          <w:rFonts w:ascii="Century Gothic" w:hAnsi="Century Gothic"/>
          <w:b/>
          <w:lang w:val="en-IE"/>
        </w:rPr>
        <w:t xml:space="preserve"> €10m, whether new, in progress or completed.</w:t>
      </w:r>
    </w:p>
    <w:p w14:paraId="2CAD97A6" w14:textId="77777777" w:rsidR="00EB5AB2" w:rsidRDefault="00EB5AB2">
      <w:pPr>
        <w:jc w:val="both"/>
        <w:rPr>
          <w:rFonts w:ascii="Century Gothic" w:hAnsi="Century Gothic"/>
          <w:lang w:val="en-IE"/>
        </w:rPr>
      </w:pPr>
    </w:p>
    <w:p w14:paraId="1A9F93CC" w14:textId="77777777" w:rsidR="00EB5AB2" w:rsidRDefault="00EB5AB2">
      <w:pPr>
        <w:numPr>
          <w:ilvl w:val="0"/>
          <w:numId w:val="1"/>
        </w:numPr>
        <w:jc w:val="both"/>
        <w:rPr>
          <w:rFonts w:ascii="Century Gothic" w:hAnsi="Century Gothic"/>
          <w:lang w:val="en-IE"/>
        </w:rPr>
      </w:pPr>
      <w:r>
        <w:rPr>
          <w:rFonts w:ascii="Century Gothic" w:hAnsi="Century Gothic"/>
          <w:b/>
          <w:lang w:val="en-IE"/>
        </w:rPr>
        <w:t>Checklists to be completed in respect of different stages.</w:t>
      </w:r>
      <w:r>
        <w:rPr>
          <w:rFonts w:ascii="Century Gothic" w:hAnsi="Century Gothic"/>
          <w:lang w:val="en-IE"/>
        </w:rPr>
        <w:t xml:space="preserve">  These checklists allow Galway City Council and its agencies to self-assess their compliance with the code, which are provided through the PSC document.</w:t>
      </w:r>
    </w:p>
    <w:p w14:paraId="76F5C070" w14:textId="77777777" w:rsidR="00EB5AB2" w:rsidRDefault="00EB5AB2">
      <w:pPr>
        <w:jc w:val="both"/>
        <w:rPr>
          <w:rFonts w:ascii="Century Gothic" w:hAnsi="Century Gothic"/>
          <w:lang w:val="en-IE"/>
        </w:rPr>
      </w:pPr>
    </w:p>
    <w:p w14:paraId="4CE485E4" w14:textId="77777777" w:rsidR="00EB5AB2" w:rsidRDefault="00EB5AB2">
      <w:pPr>
        <w:numPr>
          <w:ilvl w:val="0"/>
          <w:numId w:val="1"/>
        </w:numPr>
        <w:jc w:val="both"/>
        <w:rPr>
          <w:rFonts w:ascii="Century Gothic" w:hAnsi="Century Gothic"/>
          <w:lang w:val="en-IE"/>
        </w:rPr>
      </w:pPr>
      <w:r>
        <w:rPr>
          <w:rFonts w:ascii="Century Gothic" w:hAnsi="Century Gothic"/>
          <w:b/>
          <w:lang w:val="en-IE"/>
        </w:rPr>
        <w:t>Carry out a more in-depth check on a small number of selected projects / programmes.</w:t>
      </w:r>
      <w:r>
        <w:rPr>
          <w:rFonts w:ascii="Century Gothic" w:hAnsi="Century Gothic"/>
          <w:lang w:val="en-IE"/>
        </w:rPr>
        <w:t xml:space="preserve">  </w:t>
      </w:r>
      <w:proofErr w:type="gramStart"/>
      <w:r>
        <w:rPr>
          <w:rFonts w:ascii="Century Gothic" w:hAnsi="Century Gothic"/>
          <w:lang w:val="en-IE"/>
        </w:rPr>
        <w:t>A number of</w:t>
      </w:r>
      <w:proofErr w:type="gramEnd"/>
      <w:r>
        <w:rPr>
          <w:rFonts w:ascii="Century Gothic" w:hAnsi="Century Gothic"/>
          <w:lang w:val="en-IE"/>
        </w:rPr>
        <w:t xml:space="preserve"> projects and programmes </w:t>
      </w:r>
      <w:r w:rsidR="00422857">
        <w:rPr>
          <w:rFonts w:ascii="Century Gothic" w:hAnsi="Century Gothic"/>
          <w:lang w:val="en-IE"/>
        </w:rPr>
        <w:t>are selected to be reviewed more intensively.  A</w:t>
      </w:r>
      <w:r>
        <w:rPr>
          <w:rFonts w:ascii="Century Gothic" w:hAnsi="Century Gothic"/>
          <w:lang w:val="en-IE"/>
        </w:rPr>
        <w:t xml:space="preserve">t least 5% of total declared </w:t>
      </w:r>
      <w:r w:rsidR="00422857">
        <w:rPr>
          <w:rFonts w:ascii="Century Gothic" w:hAnsi="Century Gothic"/>
          <w:lang w:val="en-IE"/>
        </w:rPr>
        <w:t xml:space="preserve">Capital </w:t>
      </w:r>
      <w:r>
        <w:rPr>
          <w:rFonts w:ascii="Century Gothic" w:hAnsi="Century Gothic"/>
          <w:lang w:val="en-IE"/>
        </w:rPr>
        <w:t xml:space="preserve">spending </w:t>
      </w:r>
      <w:r w:rsidR="00422857">
        <w:rPr>
          <w:rFonts w:ascii="Century Gothic" w:hAnsi="Century Gothic"/>
          <w:lang w:val="en-IE"/>
        </w:rPr>
        <w:t>each year, and 1% of Revenue spending each ye</w:t>
      </w:r>
      <w:r w:rsidR="00376730">
        <w:rPr>
          <w:rFonts w:ascii="Century Gothic" w:hAnsi="Century Gothic"/>
          <w:lang w:val="en-IE"/>
        </w:rPr>
        <w:t>ar, with both averaged over a 3-</w:t>
      </w:r>
      <w:r w:rsidR="00422857">
        <w:rPr>
          <w:rFonts w:ascii="Century Gothic" w:hAnsi="Century Gothic"/>
          <w:lang w:val="en-IE"/>
        </w:rPr>
        <w:t>year period</w:t>
      </w:r>
      <w:r>
        <w:rPr>
          <w:rFonts w:ascii="Century Gothic" w:hAnsi="Century Gothic"/>
          <w:lang w:val="en-IE"/>
        </w:rPr>
        <w:t>.</w:t>
      </w:r>
    </w:p>
    <w:p w14:paraId="75F169BF" w14:textId="77777777" w:rsidR="00EB5AB2" w:rsidRDefault="00EB5AB2">
      <w:pPr>
        <w:jc w:val="both"/>
        <w:rPr>
          <w:rFonts w:ascii="Century Gothic" w:hAnsi="Century Gothic"/>
          <w:lang w:val="en-IE"/>
        </w:rPr>
      </w:pPr>
    </w:p>
    <w:p w14:paraId="4972B022" w14:textId="77777777" w:rsidR="00EB5AB2" w:rsidRDefault="00EB5AB2">
      <w:pPr>
        <w:numPr>
          <w:ilvl w:val="0"/>
          <w:numId w:val="1"/>
        </w:numPr>
        <w:jc w:val="both"/>
        <w:rPr>
          <w:rFonts w:ascii="Century Gothic" w:hAnsi="Century Gothic"/>
          <w:lang w:val="en-IE"/>
        </w:rPr>
      </w:pPr>
      <w:r>
        <w:rPr>
          <w:rFonts w:ascii="Century Gothic" w:hAnsi="Century Gothic"/>
          <w:b/>
          <w:lang w:val="en-IE"/>
        </w:rPr>
        <w:t xml:space="preserve">Complete a short report for the National Oversight and Audit Commission (NOAC), </w:t>
      </w:r>
      <w:r>
        <w:rPr>
          <w:rFonts w:ascii="Century Gothic" w:hAnsi="Century Gothic"/>
          <w:lang w:val="en-IE"/>
        </w:rPr>
        <w:t>which includes the inventory of all projects, the publication of procurements over €10m, the completed checklists, the City Council’s judgement on the findings from the in-depth checks and any proposals to remedy discovered inadequacies.</w:t>
      </w:r>
    </w:p>
    <w:p w14:paraId="4FDBE9FC" w14:textId="77777777" w:rsidR="00EB5AB2" w:rsidRDefault="00EB5AB2">
      <w:pPr>
        <w:jc w:val="both"/>
        <w:rPr>
          <w:rFonts w:ascii="Century Gothic" w:hAnsi="Century Gothic"/>
          <w:lang w:val="en-IE"/>
        </w:rPr>
      </w:pPr>
    </w:p>
    <w:p w14:paraId="42AC3606" w14:textId="40D11071" w:rsidR="002903D3" w:rsidRDefault="00EB5AB2">
      <w:pPr>
        <w:jc w:val="both"/>
        <w:rPr>
          <w:rFonts w:ascii="Century Gothic" w:hAnsi="Century Gothic"/>
          <w:lang w:val="en-IE"/>
        </w:rPr>
      </w:pPr>
      <w:r>
        <w:rPr>
          <w:rFonts w:ascii="Century Gothic" w:hAnsi="Century Gothic"/>
          <w:lang w:val="en-IE"/>
        </w:rPr>
        <w:t>This report fulfils the requirements of the QA Process in Galway City Council for 20</w:t>
      </w:r>
      <w:r w:rsidR="00900C8C">
        <w:rPr>
          <w:rFonts w:ascii="Century Gothic" w:hAnsi="Century Gothic"/>
          <w:lang w:val="en-IE"/>
        </w:rPr>
        <w:t>2</w:t>
      </w:r>
      <w:r w:rsidR="008F2D8D">
        <w:rPr>
          <w:rFonts w:ascii="Century Gothic" w:hAnsi="Century Gothic"/>
          <w:lang w:val="en-IE"/>
        </w:rPr>
        <w:t>2</w:t>
      </w:r>
      <w:r>
        <w:rPr>
          <w:rFonts w:ascii="Century Gothic" w:hAnsi="Century Gothic"/>
          <w:lang w:val="en-IE"/>
        </w:rPr>
        <w:t xml:space="preserve">.  </w:t>
      </w:r>
    </w:p>
    <w:p w14:paraId="63A156F9" w14:textId="77777777" w:rsidR="00EB5AB2" w:rsidRDefault="00EB5AB2"/>
    <w:p w14:paraId="3F9283A5" w14:textId="77777777" w:rsidR="00EB5AB2" w:rsidRDefault="00EB5AB2">
      <w:pPr>
        <w:pStyle w:val="Heading4"/>
      </w:pPr>
      <w:r>
        <w:lastRenderedPageBreak/>
        <w:t>Part B – Expenditure Analysis</w:t>
      </w:r>
    </w:p>
    <w:p w14:paraId="72D12E13" w14:textId="77777777" w:rsidR="00EB5AB2" w:rsidRDefault="00EB5AB2">
      <w:pPr>
        <w:jc w:val="both"/>
        <w:rPr>
          <w:rFonts w:ascii="Century Gothic" w:hAnsi="Century Gothic"/>
          <w:lang w:val="en-IE"/>
        </w:rPr>
      </w:pPr>
    </w:p>
    <w:p w14:paraId="5DE186A3" w14:textId="77777777" w:rsidR="00EB5AB2" w:rsidRDefault="00EB5AB2">
      <w:pPr>
        <w:pStyle w:val="Heading4"/>
      </w:pPr>
      <w:r>
        <w:t>Inventory of Projects / Programmes</w:t>
      </w:r>
    </w:p>
    <w:p w14:paraId="2FF6FF3F" w14:textId="77777777" w:rsidR="00EB5AB2" w:rsidRPr="001D7E17" w:rsidRDefault="00EB5AB2">
      <w:pPr>
        <w:jc w:val="both"/>
        <w:rPr>
          <w:rFonts w:ascii="Century Gothic" w:hAnsi="Century Gothic"/>
          <w:sz w:val="16"/>
          <w:szCs w:val="16"/>
          <w:lang w:val="en-IE"/>
        </w:rPr>
      </w:pPr>
    </w:p>
    <w:p w14:paraId="31AADA2C" w14:textId="39278D84" w:rsidR="00EB5AB2" w:rsidRDefault="00EB5AB2">
      <w:pPr>
        <w:jc w:val="both"/>
        <w:rPr>
          <w:rFonts w:ascii="Century Gothic" w:hAnsi="Century Gothic"/>
          <w:lang w:val="en-IE"/>
        </w:rPr>
      </w:pPr>
      <w:r>
        <w:rPr>
          <w:rFonts w:ascii="Century Gothic" w:hAnsi="Century Gothic"/>
          <w:lang w:val="en-IE"/>
        </w:rPr>
        <w:t>This section details the inventory drawn up by Galway City Council in accordance with the guidance on the Quality Assurance process.  The inventory lists all the City Council’s projects and programmes at various stages of the project life cycle, which amounted to more than €0.5m.  The inventory is based on Capital Projects (individual jobs)</w:t>
      </w:r>
      <w:r w:rsidR="00DE4557">
        <w:rPr>
          <w:rFonts w:ascii="Century Gothic" w:hAnsi="Century Gothic"/>
          <w:lang w:val="en-IE"/>
        </w:rPr>
        <w:t>,</w:t>
      </w:r>
      <w:r>
        <w:rPr>
          <w:rFonts w:ascii="Century Gothic" w:hAnsi="Century Gothic"/>
          <w:lang w:val="en-IE"/>
        </w:rPr>
        <w:t xml:space="preserve"> and Revenue Programmes based on the Service Level listing in Appendix 2 of the Annual Financial Statement</w:t>
      </w:r>
      <w:r w:rsidR="00422857">
        <w:rPr>
          <w:rFonts w:ascii="Century Gothic" w:hAnsi="Century Gothic"/>
          <w:lang w:val="en-IE"/>
        </w:rPr>
        <w:t xml:space="preserve"> for 20</w:t>
      </w:r>
      <w:r w:rsidR="0045230F">
        <w:rPr>
          <w:rFonts w:ascii="Century Gothic" w:hAnsi="Century Gothic"/>
          <w:lang w:val="en-IE"/>
        </w:rPr>
        <w:t>2</w:t>
      </w:r>
      <w:r w:rsidR="008F2D8D">
        <w:rPr>
          <w:rFonts w:ascii="Century Gothic" w:hAnsi="Century Gothic"/>
          <w:lang w:val="en-IE"/>
        </w:rPr>
        <w:t>2</w:t>
      </w:r>
      <w:r>
        <w:rPr>
          <w:rFonts w:ascii="Century Gothic" w:hAnsi="Century Gothic"/>
          <w:lang w:val="en-IE"/>
        </w:rPr>
        <w:t>.</w:t>
      </w:r>
    </w:p>
    <w:p w14:paraId="02808C00" w14:textId="77777777" w:rsidR="00EB5AB2" w:rsidRDefault="00EB5AB2">
      <w:pPr>
        <w:jc w:val="both"/>
        <w:rPr>
          <w:rFonts w:ascii="Century Gothic" w:hAnsi="Century Gothic"/>
          <w:lang w:val="en-IE"/>
        </w:rPr>
      </w:pPr>
    </w:p>
    <w:p w14:paraId="18879074" w14:textId="77777777" w:rsidR="00EB5AB2" w:rsidRDefault="00EB5AB2">
      <w:pPr>
        <w:jc w:val="both"/>
        <w:rPr>
          <w:rFonts w:ascii="Century Gothic" w:hAnsi="Century Gothic"/>
          <w:lang w:val="en-IE"/>
        </w:rPr>
      </w:pPr>
      <w:r>
        <w:rPr>
          <w:rFonts w:ascii="Century Gothic" w:hAnsi="Century Gothic"/>
          <w:lang w:val="en-IE"/>
        </w:rPr>
        <w:t>The inventory is divided between three stages:</w:t>
      </w:r>
    </w:p>
    <w:p w14:paraId="23BD6B51" w14:textId="77777777" w:rsidR="00EB5AB2" w:rsidRDefault="00EB5AB2">
      <w:pPr>
        <w:numPr>
          <w:ilvl w:val="0"/>
          <w:numId w:val="3"/>
        </w:numPr>
        <w:tabs>
          <w:tab w:val="clear" w:pos="360"/>
          <w:tab w:val="left" w:pos="1985"/>
        </w:tabs>
        <w:ind w:left="1985" w:hanging="851"/>
        <w:jc w:val="both"/>
        <w:rPr>
          <w:rFonts w:ascii="Century Gothic" w:hAnsi="Century Gothic"/>
          <w:lang w:val="en-IE"/>
        </w:rPr>
      </w:pPr>
      <w:r>
        <w:rPr>
          <w:rFonts w:ascii="Century Gothic" w:hAnsi="Century Gothic"/>
          <w:lang w:val="en-IE"/>
        </w:rPr>
        <w:t xml:space="preserve">Expenditure being </w:t>
      </w:r>
      <w:proofErr w:type="gramStart"/>
      <w:r>
        <w:rPr>
          <w:rFonts w:ascii="Century Gothic" w:hAnsi="Century Gothic"/>
          <w:lang w:val="en-IE"/>
        </w:rPr>
        <w:t>considered</w:t>
      </w:r>
      <w:proofErr w:type="gramEnd"/>
    </w:p>
    <w:p w14:paraId="34CABD3F" w14:textId="77777777" w:rsidR="00EB5AB2" w:rsidRDefault="00EB5AB2">
      <w:pPr>
        <w:numPr>
          <w:ilvl w:val="0"/>
          <w:numId w:val="3"/>
        </w:numPr>
        <w:tabs>
          <w:tab w:val="clear" w:pos="360"/>
          <w:tab w:val="left" w:pos="1985"/>
        </w:tabs>
        <w:ind w:left="1985" w:hanging="851"/>
        <w:jc w:val="both"/>
        <w:rPr>
          <w:rFonts w:ascii="Century Gothic" w:hAnsi="Century Gothic"/>
          <w:lang w:val="en-IE"/>
        </w:rPr>
      </w:pPr>
      <w:r>
        <w:rPr>
          <w:rFonts w:ascii="Century Gothic" w:hAnsi="Century Gothic"/>
          <w:lang w:val="en-IE"/>
        </w:rPr>
        <w:t xml:space="preserve">Expenditure being </w:t>
      </w:r>
      <w:proofErr w:type="gramStart"/>
      <w:r>
        <w:rPr>
          <w:rFonts w:ascii="Century Gothic" w:hAnsi="Century Gothic"/>
          <w:lang w:val="en-IE"/>
        </w:rPr>
        <w:t>incurred</w:t>
      </w:r>
      <w:proofErr w:type="gramEnd"/>
    </w:p>
    <w:p w14:paraId="60CAE3EA" w14:textId="77777777" w:rsidR="00EB5AB2" w:rsidRDefault="00EB5AB2">
      <w:pPr>
        <w:numPr>
          <w:ilvl w:val="0"/>
          <w:numId w:val="3"/>
        </w:numPr>
        <w:tabs>
          <w:tab w:val="clear" w:pos="360"/>
          <w:tab w:val="left" w:pos="1985"/>
        </w:tabs>
        <w:ind w:left="1985" w:hanging="851"/>
        <w:jc w:val="both"/>
        <w:rPr>
          <w:rFonts w:ascii="Century Gothic" w:hAnsi="Century Gothic"/>
          <w:lang w:val="en-IE"/>
        </w:rPr>
      </w:pPr>
      <w:r>
        <w:rPr>
          <w:rFonts w:ascii="Century Gothic" w:hAnsi="Century Gothic"/>
          <w:lang w:val="en-IE"/>
        </w:rPr>
        <w:t>Expenditure that has recently ended</w:t>
      </w:r>
    </w:p>
    <w:p w14:paraId="62967387" w14:textId="77777777" w:rsidR="00EB5AB2" w:rsidRDefault="00EB5AB2">
      <w:pPr>
        <w:tabs>
          <w:tab w:val="left" w:pos="1985"/>
        </w:tabs>
        <w:jc w:val="both"/>
        <w:rPr>
          <w:rFonts w:ascii="Century Gothic" w:hAnsi="Century Gothic"/>
          <w:lang w:val="en-IE"/>
        </w:rPr>
      </w:pPr>
    </w:p>
    <w:p w14:paraId="40DAF4FC" w14:textId="10D0EBEE" w:rsidR="00EB5AB2" w:rsidRDefault="00EB5AB2">
      <w:pPr>
        <w:tabs>
          <w:tab w:val="left" w:pos="1985"/>
        </w:tabs>
        <w:jc w:val="both"/>
        <w:rPr>
          <w:rFonts w:ascii="Century Gothic" w:hAnsi="Century Gothic"/>
          <w:lang w:val="en-IE"/>
        </w:rPr>
      </w:pPr>
      <w:r>
        <w:rPr>
          <w:rFonts w:ascii="Century Gothic" w:hAnsi="Century Gothic"/>
          <w:lang w:val="en-IE"/>
        </w:rPr>
        <w:t xml:space="preserve">The following </w:t>
      </w:r>
      <w:r w:rsidRPr="00E608D3">
        <w:rPr>
          <w:rFonts w:ascii="Century Gothic" w:hAnsi="Century Gothic"/>
          <w:u w:val="single"/>
          <w:lang w:val="en-IE"/>
        </w:rPr>
        <w:t>Table 1</w:t>
      </w:r>
      <w:r>
        <w:rPr>
          <w:rFonts w:ascii="Century Gothic" w:hAnsi="Century Gothic"/>
          <w:lang w:val="en-IE"/>
        </w:rPr>
        <w:t xml:space="preserve"> lists the City Council’s compiled inventory</w:t>
      </w:r>
      <w:r w:rsidR="00DE4557">
        <w:rPr>
          <w:rFonts w:ascii="Century Gothic" w:hAnsi="Century Gothic"/>
          <w:lang w:val="en-IE"/>
        </w:rPr>
        <w:t xml:space="preserve"> for 20</w:t>
      </w:r>
      <w:r w:rsidR="0045230F">
        <w:rPr>
          <w:rFonts w:ascii="Century Gothic" w:hAnsi="Century Gothic"/>
          <w:lang w:val="en-IE"/>
        </w:rPr>
        <w:t>2</w:t>
      </w:r>
      <w:r w:rsidR="008F2D8D">
        <w:rPr>
          <w:rFonts w:ascii="Century Gothic" w:hAnsi="Century Gothic"/>
          <w:lang w:val="en-IE"/>
        </w:rPr>
        <w:t>2</w:t>
      </w:r>
      <w:r>
        <w:rPr>
          <w:rFonts w:ascii="Century Gothic" w:hAnsi="Century Gothic"/>
          <w:lang w:val="en-IE"/>
        </w:rPr>
        <w:t>.</w:t>
      </w:r>
    </w:p>
    <w:p w14:paraId="2AF53373" w14:textId="77777777" w:rsidR="00EB5AB2" w:rsidRDefault="00EB5AB2">
      <w:pPr>
        <w:tabs>
          <w:tab w:val="left" w:pos="1985"/>
        </w:tabs>
        <w:jc w:val="both"/>
        <w:rPr>
          <w:rFonts w:ascii="Century Gothic" w:hAnsi="Century Gothic"/>
          <w:lang w:val="en-IE"/>
        </w:rPr>
      </w:pPr>
    </w:p>
    <w:p w14:paraId="1BC39CB2" w14:textId="77777777" w:rsidR="00EB5AB2" w:rsidRDefault="00EB5AB2">
      <w:pPr>
        <w:pStyle w:val="Heading4"/>
        <w:tabs>
          <w:tab w:val="left" w:pos="1985"/>
        </w:tabs>
      </w:pPr>
      <w:r>
        <w:t>Expenditure Being Considered</w:t>
      </w:r>
    </w:p>
    <w:p w14:paraId="3A5F0AF1" w14:textId="77777777" w:rsidR="00EB5AB2" w:rsidRPr="001D7E17" w:rsidRDefault="00EB5AB2">
      <w:pPr>
        <w:tabs>
          <w:tab w:val="left" w:pos="1985"/>
        </w:tabs>
        <w:jc w:val="both"/>
        <w:rPr>
          <w:rFonts w:ascii="Century Gothic" w:hAnsi="Century Gothic"/>
          <w:sz w:val="16"/>
          <w:szCs w:val="16"/>
          <w:lang w:val="en-IE"/>
        </w:rPr>
      </w:pPr>
    </w:p>
    <w:p w14:paraId="6B3394D1" w14:textId="070F7C68" w:rsidR="00EB5AB2" w:rsidRPr="00DB0B93" w:rsidRDefault="00EB5AB2">
      <w:pPr>
        <w:tabs>
          <w:tab w:val="left" w:pos="1985"/>
        </w:tabs>
        <w:jc w:val="both"/>
        <w:rPr>
          <w:rFonts w:ascii="Century Gothic" w:hAnsi="Century Gothic"/>
          <w:shd w:val="clear" w:color="auto" w:fill="FFFFFF" w:themeFill="background1"/>
          <w:lang w:val="en-IE"/>
        </w:rPr>
      </w:pPr>
      <w:r>
        <w:rPr>
          <w:rFonts w:ascii="Century Gothic" w:hAnsi="Century Gothic"/>
          <w:lang w:val="en-IE"/>
        </w:rPr>
        <w:t xml:space="preserve">Expenditure being </w:t>
      </w:r>
      <w:r w:rsidR="001D7E17">
        <w:rPr>
          <w:rFonts w:ascii="Century Gothic" w:hAnsi="Century Gothic"/>
          <w:lang w:val="en-IE"/>
        </w:rPr>
        <w:t>considered,</w:t>
      </w:r>
      <w:r>
        <w:rPr>
          <w:rFonts w:ascii="Century Gothic" w:hAnsi="Century Gothic"/>
          <w:lang w:val="en-IE"/>
        </w:rPr>
        <w:t xml:space="preserve"> </w:t>
      </w:r>
      <w:r w:rsidR="001D7E17">
        <w:rPr>
          <w:rFonts w:ascii="Century Gothic" w:hAnsi="Century Gothic"/>
          <w:lang w:val="en-IE"/>
        </w:rPr>
        <w:t>comprised</w:t>
      </w:r>
      <w:r>
        <w:rPr>
          <w:rFonts w:ascii="Century Gothic" w:hAnsi="Century Gothic"/>
          <w:lang w:val="en-IE"/>
        </w:rPr>
        <w:t xml:space="preserve"> capital projects recently initiated or likely to commence during the following year</w:t>
      </w:r>
      <w:r w:rsidR="001D7E17" w:rsidRPr="001D7E17">
        <w:rPr>
          <w:rFonts w:ascii="Century Gothic" w:hAnsi="Century Gothic"/>
          <w:shd w:val="clear" w:color="auto" w:fill="FFFFFF" w:themeFill="background1"/>
          <w:lang w:val="en-IE"/>
        </w:rPr>
        <w:t xml:space="preserve">.  </w:t>
      </w:r>
      <w:r w:rsidR="001D7E17" w:rsidRPr="00E608D3">
        <w:rPr>
          <w:rFonts w:ascii="Century Gothic" w:hAnsi="Century Gothic"/>
          <w:shd w:val="clear" w:color="auto" w:fill="FFFFFF" w:themeFill="background1"/>
          <w:lang w:val="en-IE"/>
        </w:rPr>
        <w:t>Table 1</w:t>
      </w:r>
      <w:r w:rsidR="001D7E17" w:rsidRPr="001D7E17">
        <w:rPr>
          <w:rFonts w:ascii="Century Gothic" w:hAnsi="Century Gothic"/>
          <w:shd w:val="clear" w:color="auto" w:fill="FFFFFF" w:themeFill="background1"/>
          <w:lang w:val="en-IE"/>
        </w:rPr>
        <w:t xml:space="preserve"> lists </w:t>
      </w:r>
      <w:r w:rsidR="008F2D8D" w:rsidRPr="00B94286">
        <w:rPr>
          <w:rFonts w:ascii="Century Gothic" w:hAnsi="Century Gothic"/>
          <w:shd w:val="clear" w:color="auto" w:fill="FFFFFF" w:themeFill="background1"/>
          <w:lang w:val="en-IE"/>
        </w:rPr>
        <w:t xml:space="preserve">eight </w:t>
      </w:r>
      <w:r w:rsidRPr="00B94286">
        <w:rPr>
          <w:rFonts w:ascii="Century Gothic" w:hAnsi="Century Gothic"/>
          <w:shd w:val="clear" w:color="auto" w:fill="FFFFFF" w:themeFill="background1"/>
          <w:lang w:val="en-IE"/>
        </w:rPr>
        <w:t>Capital</w:t>
      </w:r>
      <w:r w:rsidRPr="001D7E17">
        <w:rPr>
          <w:rFonts w:ascii="Century Gothic" w:hAnsi="Century Gothic"/>
          <w:shd w:val="clear" w:color="auto" w:fill="FFFFFF" w:themeFill="background1"/>
          <w:lang w:val="en-IE"/>
        </w:rPr>
        <w:t xml:space="preserve"> Project</w:t>
      </w:r>
      <w:r w:rsidR="001D7E17" w:rsidRPr="001D7E17">
        <w:rPr>
          <w:rFonts w:ascii="Century Gothic" w:hAnsi="Century Gothic"/>
          <w:shd w:val="clear" w:color="auto" w:fill="FFFFFF" w:themeFill="background1"/>
          <w:lang w:val="en-IE"/>
        </w:rPr>
        <w:t>s</w:t>
      </w:r>
      <w:r w:rsidRPr="001D7E17">
        <w:rPr>
          <w:rFonts w:ascii="Century Gothic" w:hAnsi="Century Gothic"/>
          <w:shd w:val="clear" w:color="auto" w:fill="FFFFFF" w:themeFill="background1"/>
          <w:lang w:val="en-IE"/>
        </w:rPr>
        <w:t xml:space="preserve"> as being considered </w:t>
      </w:r>
      <w:r w:rsidR="001D7E17">
        <w:rPr>
          <w:rFonts w:ascii="Century Gothic" w:hAnsi="Century Gothic"/>
          <w:shd w:val="clear" w:color="auto" w:fill="FFFFFF" w:themeFill="background1"/>
          <w:lang w:val="en-IE"/>
        </w:rPr>
        <w:t>during</w:t>
      </w:r>
      <w:r w:rsidRPr="001D7E17">
        <w:rPr>
          <w:rFonts w:ascii="Century Gothic" w:hAnsi="Century Gothic"/>
          <w:shd w:val="clear" w:color="auto" w:fill="FFFFFF" w:themeFill="background1"/>
          <w:lang w:val="en-IE"/>
        </w:rPr>
        <w:t xml:space="preserve"> 20</w:t>
      </w:r>
      <w:r w:rsidR="0045230F">
        <w:rPr>
          <w:rFonts w:ascii="Century Gothic" w:hAnsi="Century Gothic"/>
          <w:shd w:val="clear" w:color="auto" w:fill="FFFFFF" w:themeFill="background1"/>
          <w:lang w:val="en-IE"/>
        </w:rPr>
        <w:t>2</w:t>
      </w:r>
      <w:r w:rsidR="008F2D8D">
        <w:rPr>
          <w:rFonts w:ascii="Century Gothic" w:hAnsi="Century Gothic"/>
          <w:shd w:val="clear" w:color="auto" w:fill="FFFFFF" w:themeFill="background1"/>
          <w:lang w:val="en-IE"/>
        </w:rPr>
        <w:t>2</w:t>
      </w:r>
      <w:r w:rsidR="00B050F0">
        <w:rPr>
          <w:rFonts w:ascii="Century Gothic" w:hAnsi="Century Gothic"/>
          <w:shd w:val="clear" w:color="auto" w:fill="FFFFFF" w:themeFill="background1"/>
          <w:lang w:val="en-IE"/>
        </w:rPr>
        <w:t xml:space="preserve">.  These projects </w:t>
      </w:r>
      <w:r w:rsidR="00682D25">
        <w:rPr>
          <w:rFonts w:ascii="Century Gothic" w:hAnsi="Century Gothic"/>
          <w:shd w:val="clear" w:color="auto" w:fill="FFFFFF" w:themeFill="background1"/>
          <w:lang w:val="en-IE"/>
        </w:rPr>
        <w:t>are</w:t>
      </w:r>
      <w:r w:rsidR="00B050F0">
        <w:rPr>
          <w:rFonts w:ascii="Century Gothic" w:hAnsi="Century Gothic"/>
          <w:shd w:val="clear" w:color="auto" w:fill="FFFFFF" w:themeFill="background1"/>
          <w:lang w:val="en-IE"/>
        </w:rPr>
        <w:t xml:space="preserve"> at planning </w:t>
      </w:r>
      <w:r w:rsidR="00D25671">
        <w:rPr>
          <w:rFonts w:ascii="Century Gothic" w:hAnsi="Century Gothic"/>
          <w:shd w:val="clear" w:color="auto" w:fill="FFFFFF" w:themeFill="background1"/>
          <w:lang w:val="en-IE"/>
        </w:rPr>
        <w:t xml:space="preserve">or commencement </w:t>
      </w:r>
      <w:r w:rsidR="00B050F0">
        <w:rPr>
          <w:rFonts w:ascii="Century Gothic" w:hAnsi="Century Gothic"/>
          <w:shd w:val="clear" w:color="auto" w:fill="FFFFFF" w:themeFill="background1"/>
          <w:lang w:val="en-IE"/>
        </w:rPr>
        <w:t>stage</w:t>
      </w:r>
      <w:r w:rsidR="00D25671">
        <w:rPr>
          <w:rFonts w:ascii="Century Gothic" w:hAnsi="Century Gothic"/>
          <w:shd w:val="clear" w:color="auto" w:fill="FFFFFF" w:themeFill="background1"/>
          <w:lang w:val="en-IE"/>
        </w:rPr>
        <w:t>(s)</w:t>
      </w:r>
      <w:r w:rsidR="008A1E98">
        <w:rPr>
          <w:rFonts w:ascii="Century Gothic" w:hAnsi="Century Gothic"/>
          <w:shd w:val="clear" w:color="auto" w:fill="FFFFFF" w:themeFill="background1"/>
          <w:lang w:val="en-IE"/>
        </w:rPr>
        <w:t>.</w:t>
      </w:r>
    </w:p>
    <w:p w14:paraId="34E10AE4" w14:textId="77777777" w:rsidR="00EB5AB2" w:rsidRDefault="00EB5AB2">
      <w:pPr>
        <w:tabs>
          <w:tab w:val="left" w:pos="1985"/>
        </w:tabs>
        <w:jc w:val="both"/>
        <w:rPr>
          <w:rFonts w:ascii="Century Gothic" w:hAnsi="Century Gothic"/>
          <w:lang w:val="en-IE"/>
        </w:rPr>
      </w:pPr>
    </w:p>
    <w:p w14:paraId="386B9522" w14:textId="2F599E67" w:rsidR="00EB5AB2" w:rsidRDefault="00085360">
      <w:pPr>
        <w:tabs>
          <w:tab w:val="left" w:pos="1985"/>
        </w:tabs>
        <w:jc w:val="both"/>
        <w:rPr>
          <w:rFonts w:ascii="Century Gothic" w:hAnsi="Century Gothic"/>
          <w:lang w:val="en-IE"/>
        </w:rPr>
      </w:pPr>
      <w:r>
        <w:rPr>
          <w:rFonts w:ascii="Century Gothic" w:hAnsi="Century Gothic"/>
          <w:lang w:val="en-IE"/>
        </w:rPr>
        <w:t xml:space="preserve">There </w:t>
      </w:r>
      <w:r w:rsidR="00D25671" w:rsidRPr="00B94286">
        <w:rPr>
          <w:rFonts w:ascii="Century Gothic" w:hAnsi="Century Gothic"/>
          <w:lang w:val="en-IE"/>
        </w:rPr>
        <w:t>w</w:t>
      </w:r>
      <w:r w:rsidR="006E0648" w:rsidRPr="00B94286">
        <w:rPr>
          <w:rFonts w:ascii="Century Gothic" w:hAnsi="Century Gothic"/>
          <w:lang w:val="en-IE"/>
        </w:rPr>
        <w:t>ere</w:t>
      </w:r>
      <w:r w:rsidR="00EB5AB2" w:rsidRPr="00B94286">
        <w:rPr>
          <w:rFonts w:ascii="Century Gothic" w:hAnsi="Century Gothic"/>
          <w:lang w:val="en-IE"/>
        </w:rPr>
        <w:t xml:space="preserve"> </w:t>
      </w:r>
      <w:r w:rsidR="004E0FDC" w:rsidRPr="00B94286">
        <w:rPr>
          <w:rFonts w:ascii="Century Gothic" w:hAnsi="Century Gothic"/>
          <w:u w:val="single"/>
          <w:lang w:val="en-IE"/>
        </w:rPr>
        <w:t>five</w:t>
      </w:r>
      <w:r w:rsidR="00EB5AB2" w:rsidRPr="00923157">
        <w:rPr>
          <w:rFonts w:ascii="Century Gothic" w:hAnsi="Century Gothic"/>
          <w:lang w:val="en-IE"/>
        </w:rPr>
        <w:t xml:space="preserve"> </w:t>
      </w:r>
      <w:r>
        <w:rPr>
          <w:rFonts w:ascii="Century Gothic" w:hAnsi="Century Gothic"/>
          <w:lang w:val="en-IE"/>
        </w:rPr>
        <w:t>new revenue project</w:t>
      </w:r>
      <w:r w:rsidR="004E0FDC">
        <w:rPr>
          <w:rFonts w:ascii="Century Gothic" w:hAnsi="Century Gothic"/>
          <w:lang w:val="en-IE"/>
        </w:rPr>
        <w:t>s</w:t>
      </w:r>
      <w:r>
        <w:rPr>
          <w:rFonts w:ascii="Century Gothic" w:hAnsi="Century Gothic"/>
          <w:lang w:val="en-IE"/>
        </w:rPr>
        <w:t xml:space="preserve"> in </w:t>
      </w:r>
      <w:r w:rsidR="00BC754E">
        <w:rPr>
          <w:rFonts w:ascii="Century Gothic" w:hAnsi="Century Gothic"/>
          <w:lang w:val="en-IE"/>
        </w:rPr>
        <w:t xml:space="preserve">the expenditure reports of Galway City Council </w:t>
      </w:r>
      <w:r w:rsidR="00422857">
        <w:rPr>
          <w:rFonts w:ascii="Century Gothic" w:hAnsi="Century Gothic"/>
          <w:lang w:val="en-IE"/>
        </w:rPr>
        <w:t>during</w:t>
      </w:r>
      <w:r w:rsidR="0045230F">
        <w:rPr>
          <w:rFonts w:ascii="Century Gothic" w:hAnsi="Century Gothic"/>
          <w:lang w:val="en-IE"/>
        </w:rPr>
        <w:t xml:space="preserve"> 202</w:t>
      </w:r>
      <w:r w:rsidR="008F2D8D">
        <w:rPr>
          <w:rFonts w:ascii="Century Gothic" w:hAnsi="Century Gothic"/>
          <w:lang w:val="en-IE"/>
        </w:rPr>
        <w:t>2</w:t>
      </w:r>
      <w:r w:rsidR="00D25671">
        <w:rPr>
          <w:rFonts w:ascii="Century Gothic" w:hAnsi="Century Gothic"/>
          <w:lang w:val="en-IE"/>
        </w:rPr>
        <w:t xml:space="preserve">.  </w:t>
      </w:r>
      <w:r w:rsidRPr="00923157">
        <w:rPr>
          <w:rFonts w:ascii="Century Gothic" w:hAnsi="Century Gothic"/>
          <w:lang w:val="en-IE"/>
        </w:rPr>
        <w:t xml:space="preserve">New revenue Service Levels are usually </w:t>
      </w:r>
      <w:r>
        <w:rPr>
          <w:rFonts w:ascii="Century Gothic" w:hAnsi="Century Gothic"/>
          <w:lang w:val="en-IE"/>
        </w:rPr>
        <w:t xml:space="preserve">the </w:t>
      </w:r>
      <w:r w:rsidRPr="00923157">
        <w:rPr>
          <w:rFonts w:ascii="Century Gothic" w:hAnsi="Century Gothic"/>
          <w:lang w:val="en-IE"/>
        </w:rPr>
        <w:t>result of national</w:t>
      </w:r>
      <w:r>
        <w:rPr>
          <w:rFonts w:ascii="Century Gothic" w:hAnsi="Century Gothic"/>
          <w:lang w:val="en-IE"/>
        </w:rPr>
        <w:t xml:space="preserve"> or regional</w:t>
      </w:r>
      <w:r w:rsidRPr="00923157">
        <w:rPr>
          <w:rFonts w:ascii="Century Gothic" w:hAnsi="Century Gothic"/>
          <w:lang w:val="en-IE"/>
        </w:rPr>
        <w:t xml:space="preserve"> initiatives</w:t>
      </w:r>
      <w:r>
        <w:rPr>
          <w:rFonts w:ascii="Century Gothic" w:hAnsi="Century Gothic"/>
          <w:lang w:val="en-IE"/>
        </w:rPr>
        <w:t>.</w:t>
      </w:r>
    </w:p>
    <w:p w14:paraId="12451E0F" w14:textId="77777777" w:rsidR="00EB5AB2" w:rsidRDefault="00EB5AB2">
      <w:pPr>
        <w:tabs>
          <w:tab w:val="left" w:pos="1985"/>
        </w:tabs>
        <w:jc w:val="both"/>
        <w:rPr>
          <w:rFonts w:ascii="Century Gothic" w:hAnsi="Century Gothic"/>
          <w:lang w:val="en-IE"/>
        </w:rPr>
      </w:pPr>
    </w:p>
    <w:p w14:paraId="009EDDB9" w14:textId="77777777" w:rsidR="00EB5AB2" w:rsidRDefault="00EB5AB2">
      <w:pPr>
        <w:pStyle w:val="Heading4"/>
        <w:tabs>
          <w:tab w:val="left" w:pos="1985"/>
        </w:tabs>
      </w:pPr>
      <w:r>
        <w:t>Expenditure Being Incurred</w:t>
      </w:r>
    </w:p>
    <w:p w14:paraId="69ACC57E" w14:textId="77777777" w:rsidR="00EB5AB2" w:rsidRPr="001D7E17" w:rsidRDefault="00EB5AB2">
      <w:pPr>
        <w:tabs>
          <w:tab w:val="left" w:pos="1985"/>
        </w:tabs>
        <w:jc w:val="both"/>
        <w:rPr>
          <w:rFonts w:ascii="Century Gothic" w:hAnsi="Century Gothic"/>
          <w:sz w:val="16"/>
          <w:szCs w:val="16"/>
          <w:lang w:val="en-IE"/>
        </w:rPr>
      </w:pPr>
    </w:p>
    <w:p w14:paraId="242150F6" w14:textId="19CE5E02" w:rsidR="00422857" w:rsidRDefault="00923157">
      <w:pPr>
        <w:tabs>
          <w:tab w:val="left" w:pos="1985"/>
        </w:tabs>
        <w:jc w:val="both"/>
        <w:rPr>
          <w:rFonts w:ascii="Century Gothic" w:hAnsi="Century Gothic"/>
          <w:lang w:val="en-IE"/>
        </w:rPr>
      </w:pPr>
      <w:r>
        <w:rPr>
          <w:rFonts w:ascii="Century Gothic" w:hAnsi="Century Gothic"/>
          <w:lang w:val="en-IE"/>
        </w:rPr>
        <w:t>T</w:t>
      </w:r>
      <w:r w:rsidR="00B153C3">
        <w:rPr>
          <w:rFonts w:ascii="Century Gothic" w:hAnsi="Century Gothic"/>
          <w:lang w:val="en-IE"/>
        </w:rPr>
        <w:t>he Public Spending Code requires</w:t>
      </w:r>
      <w:r>
        <w:rPr>
          <w:rFonts w:ascii="Century Gothic" w:hAnsi="Century Gothic"/>
          <w:lang w:val="en-IE"/>
        </w:rPr>
        <w:t xml:space="preserve"> </w:t>
      </w:r>
      <w:r w:rsidR="00EB5AB2">
        <w:rPr>
          <w:rFonts w:ascii="Century Gothic" w:hAnsi="Century Gothic"/>
          <w:lang w:val="en-IE"/>
        </w:rPr>
        <w:t xml:space="preserve">that all </w:t>
      </w:r>
      <w:r>
        <w:rPr>
          <w:rFonts w:ascii="Century Gothic" w:hAnsi="Century Gothic"/>
          <w:lang w:val="en-IE"/>
        </w:rPr>
        <w:t xml:space="preserve">revenue </w:t>
      </w:r>
      <w:r w:rsidR="00EB5AB2">
        <w:rPr>
          <w:rFonts w:ascii="Century Gothic" w:hAnsi="Century Gothic"/>
          <w:lang w:val="en-IE"/>
        </w:rPr>
        <w:t xml:space="preserve">Service Levels incurring expenditures over €0.5m would be declared.  Accordingly, </w:t>
      </w:r>
      <w:r w:rsidR="00EB5AB2" w:rsidRPr="001D7E17">
        <w:rPr>
          <w:rFonts w:ascii="Century Gothic" w:hAnsi="Century Gothic"/>
          <w:lang w:val="en-IE"/>
        </w:rPr>
        <w:t xml:space="preserve">there are </w:t>
      </w:r>
      <w:r w:rsidR="00B94286">
        <w:rPr>
          <w:rFonts w:ascii="Century Gothic" w:hAnsi="Century Gothic"/>
          <w:u w:val="single"/>
          <w:lang w:val="en-IE"/>
        </w:rPr>
        <w:t>36</w:t>
      </w:r>
      <w:r w:rsidR="00EB5AB2" w:rsidRPr="001D7E17">
        <w:rPr>
          <w:rFonts w:ascii="Century Gothic" w:hAnsi="Century Gothic"/>
          <w:lang w:val="en-IE"/>
        </w:rPr>
        <w:t xml:space="preserve"> revenue programmes listed in </w:t>
      </w:r>
      <w:r w:rsidR="00EB5AB2" w:rsidRPr="00E608D3">
        <w:rPr>
          <w:rFonts w:ascii="Century Gothic" w:hAnsi="Century Gothic"/>
          <w:lang w:val="en-IE"/>
        </w:rPr>
        <w:t>Table 1</w:t>
      </w:r>
      <w:r w:rsidR="001D7E17" w:rsidRPr="001D7E17">
        <w:rPr>
          <w:rFonts w:ascii="Century Gothic" w:hAnsi="Century Gothic"/>
          <w:lang w:val="en-IE"/>
        </w:rPr>
        <w:t xml:space="preserve"> for 20</w:t>
      </w:r>
      <w:r w:rsidR="0045230F">
        <w:rPr>
          <w:rFonts w:ascii="Century Gothic" w:hAnsi="Century Gothic"/>
          <w:lang w:val="en-IE"/>
        </w:rPr>
        <w:t>2</w:t>
      </w:r>
      <w:r w:rsidR="008F2D8D">
        <w:rPr>
          <w:rFonts w:ascii="Century Gothic" w:hAnsi="Century Gothic"/>
          <w:lang w:val="en-IE"/>
        </w:rPr>
        <w:t>2</w:t>
      </w:r>
      <w:r w:rsidR="00682D25">
        <w:rPr>
          <w:rFonts w:ascii="Century Gothic" w:hAnsi="Century Gothic"/>
          <w:lang w:val="en-IE"/>
        </w:rPr>
        <w:t>.</w:t>
      </w:r>
    </w:p>
    <w:p w14:paraId="2D2BB8AC" w14:textId="77777777" w:rsidR="00422857" w:rsidRDefault="00422857">
      <w:pPr>
        <w:tabs>
          <w:tab w:val="left" w:pos="1985"/>
        </w:tabs>
        <w:jc w:val="both"/>
        <w:rPr>
          <w:rFonts w:ascii="Century Gothic" w:hAnsi="Century Gothic"/>
          <w:lang w:val="en-IE"/>
        </w:rPr>
      </w:pPr>
    </w:p>
    <w:p w14:paraId="01586705" w14:textId="4DDB1FFD" w:rsidR="00EB5AB2" w:rsidRDefault="001D7E17">
      <w:pPr>
        <w:tabs>
          <w:tab w:val="left" w:pos="1985"/>
        </w:tabs>
        <w:jc w:val="both"/>
        <w:rPr>
          <w:rFonts w:ascii="Century Gothic" w:hAnsi="Century Gothic"/>
          <w:lang w:val="en-IE"/>
        </w:rPr>
      </w:pPr>
      <w:r w:rsidRPr="001D7E17">
        <w:rPr>
          <w:rFonts w:ascii="Century Gothic" w:hAnsi="Century Gothic"/>
          <w:lang w:val="en-IE"/>
        </w:rPr>
        <w:t>Table 1</w:t>
      </w:r>
      <w:r w:rsidR="00EB5AB2" w:rsidRPr="001D7E17">
        <w:rPr>
          <w:rFonts w:ascii="Century Gothic" w:hAnsi="Century Gothic"/>
          <w:lang w:val="en-IE"/>
        </w:rPr>
        <w:t xml:space="preserve"> also lists </w:t>
      </w:r>
      <w:r w:rsidR="00B94286">
        <w:rPr>
          <w:rFonts w:ascii="Century Gothic" w:hAnsi="Century Gothic"/>
          <w:u w:val="single"/>
          <w:lang w:val="en-IE"/>
        </w:rPr>
        <w:t>16</w:t>
      </w:r>
      <w:r w:rsidR="00EB5AB2" w:rsidRPr="001D7E17">
        <w:rPr>
          <w:rFonts w:ascii="Century Gothic" w:hAnsi="Century Gothic"/>
          <w:lang w:val="en-IE"/>
        </w:rPr>
        <w:t xml:space="preserve"> </w:t>
      </w:r>
      <w:r w:rsidRPr="001D7E17">
        <w:rPr>
          <w:rFonts w:ascii="Century Gothic" w:hAnsi="Century Gothic"/>
          <w:lang w:val="en-IE"/>
        </w:rPr>
        <w:t xml:space="preserve">ongoing </w:t>
      </w:r>
      <w:r w:rsidR="00EB5AB2" w:rsidRPr="001D7E17">
        <w:rPr>
          <w:rFonts w:ascii="Century Gothic" w:hAnsi="Century Gothic"/>
          <w:lang w:val="en-IE"/>
        </w:rPr>
        <w:t>Capital Projects</w:t>
      </w:r>
      <w:r w:rsidR="000F5C56">
        <w:rPr>
          <w:rFonts w:ascii="Century Gothic" w:hAnsi="Century Gothic"/>
          <w:lang w:val="en-IE"/>
        </w:rPr>
        <w:t xml:space="preserve"> in </w:t>
      </w:r>
      <w:r w:rsidR="00DB0B93">
        <w:rPr>
          <w:rFonts w:ascii="Century Gothic" w:hAnsi="Century Gothic"/>
          <w:lang w:val="en-IE"/>
        </w:rPr>
        <w:t>various</w:t>
      </w:r>
      <w:r w:rsidR="00B050F0">
        <w:rPr>
          <w:rFonts w:ascii="Century Gothic" w:hAnsi="Century Gothic"/>
          <w:lang w:val="en-IE"/>
        </w:rPr>
        <w:t xml:space="preserve"> Directorates.</w:t>
      </w:r>
    </w:p>
    <w:p w14:paraId="3774D7B3" w14:textId="77777777" w:rsidR="00EB5AB2" w:rsidRDefault="00EB5AB2">
      <w:pPr>
        <w:tabs>
          <w:tab w:val="left" w:pos="1985"/>
        </w:tabs>
        <w:jc w:val="both"/>
        <w:rPr>
          <w:rFonts w:ascii="Century Gothic" w:hAnsi="Century Gothic"/>
          <w:lang w:val="en-IE"/>
        </w:rPr>
      </w:pPr>
    </w:p>
    <w:p w14:paraId="1883C04D" w14:textId="77777777" w:rsidR="00EB5AB2" w:rsidRDefault="00EB5AB2">
      <w:pPr>
        <w:pStyle w:val="Heading4"/>
        <w:tabs>
          <w:tab w:val="left" w:pos="1985"/>
        </w:tabs>
      </w:pPr>
      <w:r>
        <w:t>Expenditure Recently Ended</w:t>
      </w:r>
    </w:p>
    <w:p w14:paraId="117519D9" w14:textId="77777777" w:rsidR="00EB5AB2" w:rsidRPr="001D7E17" w:rsidRDefault="00EB5AB2">
      <w:pPr>
        <w:tabs>
          <w:tab w:val="left" w:pos="1985"/>
        </w:tabs>
        <w:jc w:val="both"/>
        <w:rPr>
          <w:rFonts w:ascii="Century Gothic" w:hAnsi="Century Gothic"/>
          <w:sz w:val="16"/>
          <w:szCs w:val="16"/>
          <w:lang w:val="en-IE"/>
        </w:rPr>
      </w:pPr>
    </w:p>
    <w:p w14:paraId="546D656F" w14:textId="65BA9AC5" w:rsidR="00422857" w:rsidRDefault="00EB5AB2">
      <w:pPr>
        <w:tabs>
          <w:tab w:val="left" w:pos="1985"/>
        </w:tabs>
        <w:jc w:val="both"/>
        <w:rPr>
          <w:rFonts w:ascii="Century Gothic" w:hAnsi="Century Gothic"/>
          <w:lang w:val="en-IE"/>
        </w:rPr>
      </w:pPr>
      <w:r w:rsidRPr="001D7E17">
        <w:rPr>
          <w:rFonts w:ascii="Century Gothic" w:hAnsi="Century Gothic"/>
          <w:lang w:val="en-IE"/>
        </w:rPr>
        <w:t xml:space="preserve">Table 1 </w:t>
      </w:r>
      <w:r w:rsidR="00682D25">
        <w:rPr>
          <w:rFonts w:ascii="Century Gothic" w:hAnsi="Century Gothic"/>
          <w:lang w:val="en-IE"/>
        </w:rPr>
        <w:t xml:space="preserve">confirms that </w:t>
      </w:r>
      <w:r w:rsidR="009F0422" w:rsidRPr="00B94286">
        <w:rPr>
          <w:rFonts w:ascii="Century Gothic" w:hAnsi="Century Gothic"/>
          <w:u w:val="single"/>
          <w:lang w:val="en-IE"/>
        </w:rPr>
        <w:t>s</w:t>
      </w:r>
      <w:r w:rsidR="00B94286">
        <w:rPr>
          <w:rFonts w:ascii="Century Gothic" w:hAnsi="Century Gothic"/>
          <w:u w:val="single"/>
          <w:lang w:val="en-IE"/>
        </w:rPr>
        <w:t>ix</w:t>
      </w:r>
      <w:r w:rsidR="00682D25">
        <w:rPr>
          <w:rFonts w:ascii="Century Gothic" w:hAnsi="Century Gothic"/>
          <w:lang w:val="en-IE"/>
        </w:rPr>
        <w:t xml:space="preserve"> of the capital projects</w:t>
      </w:r>
      <w:r w:rsidRPr="001D7E17">
        <w:rPr>
          <w:rFonts w:ascii="Century Gothic" w:hAnsi="Century Gothic"/>
          <w:lang w:val="en-IE"/>
        </w:rPr>
        <w:t xml:space="preserve"> </w:t>
      </w:r>
      <w:r w:rsidR="00B92ADC">
        <w:rPr>
          <w:rFonts w:ascii="Century Gothic" w:hAnsi="Century Gothic"/>
          <w:lang w:val="en-IE"/>
        </w:rPr>
        <w:t xml:space="preserve">/ programmes </w:t>
      </w:r>
      <w:r w:rsidR="00682D25">
        <w:rPr>
          <w:rFonts w:ascii="Century Gothic" w:hAnsi="Century Gothic"/>
          <w:lang w:val="en-IE"/>
        </w:rPr>
        <w:t xml:space="preserve">were </w:t>
      </w:r>
      <w:r w:rsidR="00B153C3">
        <w:rPr>
          <w:rFonts w:ascii="Century Gothic" w:hAnsi="Century Gothic"/>
          <w:lang w:val="en-IE"/>
        </w:rPr>
        <w:t>concluded during</w:t>
      </w:r>
      <w:r w:rsidR="0045230F">
        <w:rPr>
          <w:rFonts w:ascii="Century Gothic" w:hAnsi="Century Gothic"/>
          <w:lang w:val="en-IE"/>
        </w:rPr>
        <w:t xml:space="preserve"> </w:t>
      </w:r>
      <w:r w:rsidR="0045230F" w:rsidRPr="0010771D">
        <w:rPr>
          <w:rFonts w:ascii="Century Gothic" w:hAnsi="Century Gothic"/>
          <w:lang w:val="en-IE"/>
        </w:rPr>
        <w:t>20</w:t>
      </w:r>
      <w:r w:rsidR="008F2D8D" w:rsidRPr="0010771D">
        <w:rPr>
          <w:rFonts w:ascii="Century Gothic" w:hAnsi="Century Gothic"/>
          <w:lang w:val="en-IE"/>
        </w:rPr>
        <w:t>22</w:t>
      </w:r>
      <w:r w:rsidR="00682D25" w:rsidRPr="0010771D">
        <w:rPr>
          <w:rFonts w:ascii="Century Gothic" w:hAnsi="Century Gothic"/>
          <w:lang w:val="en-IE"/>
        </w:rPr>
        <w:t>.</w:t>
      </w:r>
    </w:p>
    <w:p w14:paraId="03D937BB" w14:textId="77777777" w:rsidR="00422857" w:rsidRDefault="00422857">
      <w:pPr>
        <w:tabs>
          <w:tab w:val="left" w:pos="1985"/>
        </w:tabs>
        <w:jc w:val="both"/>
        <w:rPr>
          <w:rFonts w:ascii="Century Gothic" w:hAnsi="Century Gothic"/>
          <w:lang w:val="en-IE"/>
        </w:rPr>
      </w:pPr>
    </w:p>
    <w:p w14:paraId="72CF576E" w14:textId="77777777" w:rsidR="00923157" w:rsidRDefault="00923157">
      <w:pPr>
        <w:tabs>
          <w:tab w:val="left" w:pos="1985"/>
        </w:tabs>
        <w:jc w:val="both"/>
        <w:rPr>
          <w:rFonts w:ascii="Century Gothic" w:hAnsi="Century Gothic"/>
          <w:lang w:val="en-IE"/>
        </w:rPr>
      </w:pPr>
    </w:p>
    <w:p w14:paraId="175A1A03" w14:textId="77777777" w:rsidR="00337365" w:rsidRPr="000B3F42" w:rsidRDefault="00923157" w:rsidP="000B3F42">
      <w:pPr>
        <w:rPr>
          <w:rFonts w:ascii="Century Gothic" w:hAnsi="Century Gothic"/>
          <w:lang w:val="en-IE"/>
        </w:rPr>
        <w:sectPr w:rsidR="00337365" w:rsidRPr="000B3F42">
          <w:headerReference w:type="even" r:id="rId10"/>
          <w:footerReference w:type="even" r:id="rId11"/>
          <w:footerReference w:type="default" r:id="rId12"/>
          <w:footerReference w:type="first" r:id="rId13"/>
          <w:pgSz w:w="11906" w:h="16838"/>
          <w:pgMar w:top="1440" w:right="1800" w:bottom="1440" w:left="1800" w:header="720" w:footer="720" w:gutter="0"/>
          <w:cols w:space="720"/>
          <w:titlePg/>
        </w:sectPr>
      </w:pPr>
      <w:r>
        <w:rPr>
          <w:rFonts w:ascii="Century Gothic" w:hAnsi="Century Gothic"/>
          <w:lang w:val="en-IE"/>
        </w:rPr>
        <w:br w:type="page"/>
      </w:r>
    </w:p>
    <w:p w14:paraId="2840D105" w14:textId="77777777" w:rsidR="00EB5AB2" w:rsidRDefault="000B3F42" w:rsidP="00305DAF">
      <w:pPr>
        <w:pStyle w:val="Title"/>
        <w:jc w:val="left"/>
        <w:rPr>
          <w:rFonts w:ascii="Century Gothic" w:hAnsi="Century Gothic"/>
        </w:rPr>
      </w:pPr>
      <w:r w:rsidRPr="00A13B6D">
        <w:rPr>
          <w:rFonts w:ascii="Century Gothic" w:hAnsi="Century Gothic"/>
        </w:rPr>
        <w:lastRenderedPageBreak/>
        <w:t>Table 1.</w:t>
      </w:r>
      <w:r w:rsidR="00305DAF">
        <w:rPr>
          <w:rFonts w:ascii="Century Gothic" w:hAnsi="Century Gothic"/>
        </w:rPr>
        <w:tab/>
      </w:r>
      <w:r w:rsidR="00305DAF">
        <w:rPr>
          <w:rFonts w:ascii="Century Gothic" w:hAnsi="Century Gothic"/>
        </w:rPr>
        <w:tab/>
      </w:r>
      <w:r w:rsidR="00305DAF">
        <w:rPr>
          <w:rFonts w:ascii="Century Gothic" w:hAnsi="Century Gothic"/>
        </w:rPr>
        <w:tab/>
      </w:r>
      <w:r w:rsidR="00305DAF">
        <w:rPr>
          <w:rFonts w:ascii="Century Gothic" w:hAnsi="Century Gothic"/>
        </w:rPr>
        <w:tab/>
      </w:r>
      <w:r w:rsidR="00305DAF">
        <w:rPr>
          <w:rFonts w:ascii="Century Gothic" w:hAnsi="Century Gothic"/>
        </w:rPr>
        <w:tab/>
      </w:r>
      <w:r w:rsidR="00305DAF">
        <w:rPr>
          <w:rFonts w:ascii="Century Gothic" w:hAnsi="Century Gothic"/>
        </w:rPr>
        <w:tab/>
      </w:r>
      <w:r w:rsidR="00305DAF">
        <w:rPr>
          <w:rFonts w:ascii="Century Gothic" w:hAnsi="Century Gothic"/>
        </w:rPr>
        <w:tab/>
        <w:t xml:space="preserve"> </w:t>
      </w:r>
      <w:r w:rsidR="00EB5AB2">
        <w:rPr>
          <w:rFonts w:ascii="Century Gothic" w:hAnsi="Century Gothic"/>
        </w:rPr>
        <w:t>Galway City Council</w:t>
      </w:r>
    </w:p>
    <w:p w14:paraId="599F6636" w14:textId="77777777" w:rsidR="00EB5AB2" w:rsidRPr="00446478" w:rsidRDefault="00EB5AB2">
      <w:pPr>
        <w:pStyle w:val="Title"/>
        <w:rPr>
          <w:sz w:val="16"/>
          <w:szCs w:val="16"/>
        </w:rPr>
      </w:pPr>
    </w:p>
    <w:p w14:paraId="532104B3" w14:textId="77777777" w:rsidR="00EB5AB2" w:rsidRDefault="00EB5AB2">
      <w:pPr>
        <w:pStyle w:val="Subtitle"/>
        <w:rPr>
          <w:rFonts w:ascii="Century Gothic" w:hAnsi="Century Gothic"/>
        </w:rPr>
      </w:pPr>
      <w:r>
        <w:rPr>
          <w:rFonts w:ascii="Century Gothic" w:hAnsi="Century Gothic"/>
        </w:rPr>
        <w:t>Inventory of Projects and Programmes over €0.5m</w:t>
      </w:r>
    </w:p>
    <w:p w14:paraId="34BE3420" w14:textId="77777777" w:rsidR="00EB5AB2" w:rsidRPr="00446478" w:rsidRDefault="00EB5AB2">
      <w:pPr>
        <w:jc w:val="center"/>
        <w:rPr>
          <w:b/>
          <w:snapToGrid w:val="0"/>
          <w:sz w:val="16"/>
          <w:szCs w:val="16"/>
          <w:lang w:eastAsia="en-US"/>
        </w:rPr>
      </w:pPr>
    </w:p>
    <w:p w14:paraId="3E3F6966" w14:textId="7546963A" w:rsidR="00C16007" w:rsidRDefault="00EB5AB2" w:rsidP="00B92ADC">
      <w:pPr>
        <w:pStyle w:val="BodyText"/>
      </w:pPr>
      <w:r>
        <w:t>The following contains an inventory of Expenditure on Projects</w:t>
      </w:r>
      <w:r w:rsidR="00744A41">
        <w:t xml:space="preserve"> </w:t>
      </w:r>
      <w:r>
        <w:t>/</w:t>
      </w:r>
      <w:r w:rsidR="00744A41">
        <w:t xml:space="preserve"> </w:t>
      </w:r>
      <w:r>
        <w:t xml:space="preserve">Programmes with a value above €0.5m, categorised by </w:t>
      </w:r>
      <w:r w:rsidRPr="00EB5AB2">
        <w:rPr>
          <w:u w:val="single"/>
        </w:rPr>
        <w:t>Expenditure being considered</w:t>
      </w:r>
      <w:r>
        <w:t xml:space="preserve">, </w:t>
      </w:r>
      <w:r w:rsidRPr="00EB5AB2">
        <w:rPr>
          <w:u w:val="single"/>
        </w:rPr>
        <w:t>Expenditure being incurred</w:t>
      </w:r>
      <w:r w:rsidR="00744A41">
        <w:rPr>
          <w:u w:val="single"/>
        </w:rPr>
        <w:t>,</w:t>
      </w:r>
      <w:r>
        <w:t xml:space="preserve"> and </w:t>
      </w:r>
      <w:r w:rsidRPr="00EB5AB2">
        <w:rPr>
          <w:u w:val="single"/>
        </w:rPr>
        <w:t>Expenditure recently ended</w:t>
      </w:r>
      <w:r>
        <w:t>.  Only projects with expenditure matching these criteria are included in the Inventory table.</w:t>
      </w:r>
    </w:p>
    <w:p w14:paraId="30F48646" w14:textId="77777777" w:rsidR="00A05645" w:rsidRDefault="00A05645" w:rsidP="00B92ADC">
      <w:pPr>
        <w:pStyle w:val="BodyText"/>
      </w:pPr>
    </w:p>
    <w:p w14:paraId="21CE3996" w14:textId="5C30A21E" w:rsidR="009459FB" w:rsidRDefault="00A05645" w:rsidP="00B92ADC">
      <w:pPr>
        <w:pStyle w:val="BodyText"/>
      </w:pPr>
      <w:r w:rsidRPr="00A05645">
        <w:rPr>
          <w:noProof/>
        </w:rPr>
        <w:drawing>
          <wp:inline distT="0" distB="0" distL="0" distR="0" wp14:anchorId="2D154606" wp14:editId="61B810EC">
            <wp:extent cx="9601200" cy="2223770"/>
            <wp:effectExtent l="0" t="0" r="0" b="5080"/>
            <wp:docPr id="197965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2223770"/>
                    </a:xfrm>
                    <a:prstGeom prst="rect">
                      <a:avLst/>
                    </a:prstGeom>
                    <a:noFill/>
                    <a:ln>
                      <a:noFill/>
                    </a:ln>
                  </pic:spPr>
                </pic:pic>
              </a:graphicData>
            </a:graphic>
          </wp:inline>
        </w:drawing>
      </w:r>
    </w:p>
    <w:p w14:paraId="34D868CC" w14:textId="77777777" w:rsidR="00B92ADC" w:rsidRDefault="00B92ADC">
      <w:pPr>
        <w:tabs>
          <w:tab w:val="left" w:pos="1985"/>
        </w:tabs>
        <w:jc w:val="both"/>
        <w:rPr>
          <w:rFonts w:ascii="Century Gothic" w:hAnsi="Century Gothic"/>
          <w:sz w:val="20"/>
          <w:lang w:val="en-IE"/>
        </w:rPr>
      </w:pPr>
    </w:p>
    <w:p w14:paraId="7DF78400" w14:textId="1B8FF94D" w:rsidR="00206478" w:rsidRDefault="00B92ADC" w:rsidP="00B92ADC">
      <w:pPr>
        <w:tabs>
          <w:tab w:val="left" w:pos="1985"/>
        </w:tabs>
        <w:jc w:val="both"/>
        <w:rPr>
          <w:rFonts w:ascii="Century Gothic" w:hAnsi="Century Gothic"/>
          <w:lang w:val="en-IE"/>
        </w:rPr>
      </w:pPr>
      <w:r>
        <w:rPr>
          <w:b/>
        </w:rPr>
        <w:br w:type="page"/>
      </w:r>
    </w:p>
    <w:p w14:paraId="5958C5E5" w14:textId="1C64A6B7" w:rsidR="00A05645" w:rsidRDefault="007F5891" w:rsidP="00206478">
      <w:pPr>
        <w:tabs>
          <w:tab w:val="left" w:pos="1985"/>
        </w:tabs>
        <w:jc w:val="both"/>
        <w:rPr>
          <w:rFonts w:ascii="Century Gothic" w:hAnsi="Century Gothic"/>
          <w:lang w:val="en-IE"/>
        </w:rPr>
      </w:pPr>
      <w:r w:rsidRPr="007F5891">
        <w:rPr>
          <w:noProof/>
        </w:rPr>
        <w:lastRenderedPageBreak/>
        <w:drawing>
          <wp:inline distT="0" distB="0" distL="0" distR="0" wp14:anchorId="7BA88A06" wp14:editId="5F5491EA">
            <wp:extent cx="9777730" cy="6369685"/>
            <wp:effectExtent l="0" t="0" r="0" b="0"/>
            <wp:docPr id="547955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7730" cy="6369685"/>
                    </a:xfrm>
                    <a:prstGeom prst="rect">
                      <a:avLst/>
                    </a:prstGeom>
                    <a:noFill/>
                    <a:ln>
                      <a:noFill/>
                    </a:ln>
                  </pic:spPr>
                </pic:pic>
              </a:graphicData>
            </a:graphic>
          </wp:inline>
        </w:drawing>
      </w:r>
    </w:p>
    <w:p w14:paraId="09132485" w14:textId="1EEBB565" w:rsidR="008F2D8D" w:rsidRDefault="008F2D8D" w:rsidP="00206478">
      <w:pPr>
        <w:tabs>
          <w:tab w:val="left" w:pos="1985"/>
        </w:tabs>
        <w:jc w:val="both"/>
        <w:rPr>
          <w:rFonts w:ascii="Century Gothic" w:hAnsi="Century Gothic"/>
          <w:lang w:val="en-IE"/>
        </w:rPr>
      </w:pPr>
    </w:p>
    <w:p w14:paraId="02113DE3" w14:textId="6A36D715" w:rsidR="00861351" w:rsidRDefault="00C16007" w:rsidP="00B92ADC">
      <w:pPr>
        <w:tabs>
          <w:tab w:val="left" w:pos="1985"/>
        </w:tabs>
        <w:jc w:val="both"/>
        <w:rPr>
          <w:rFonts w:ascii="Century Gothic" w:hAnsi="Century Gothic"/>
          <w:lang w:val="en-IE"/>
        </w:rPr>
      </w:pPr>
      <w:r w:rsidRPr="00C16007">
        <w:rPr>
          <w:noProof/>
        </w:rPr>
        <w:drawing>
          <wp:inline distT="0" distB="0" distL="0" distR="0" wp14:anchorId="0EDFF1AA" wp14:editId="47A8E08A">
            <wp:extent cx="9820275" cy="1910715"/>
            <wp:effectExtent l="0" t="0" r="9525" b="0"/>
            <wp:docPr id="183439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20275" cy="1910715"/>
                    </a:xfrm>
                    <a:prstGeom prst="rect">
                      <a:avLst/>
                    </a:prstGeom>
                    <a:noFill/>
                    <a:ln>
                      <a:noFill/>
                    </a:ln>
                  </pic:spPr>
                </pic:pic>
              </a:graphicData>
            </a:graphic>
          </wp:inline>
        </w:drawing>
      </w:r>
    </w:p>
    <w:p w14:paraId="574E3AF7" w14:textId="2E948107" w:rsidR="00054681" w:rsidRDefault="00054681" w:rsidP="00B92ADC">
      <w:pPr>
        <w:tabs>
          <w:tab w:val="left" w:pos="1985"/>
        </w:tabs>
        <w:jc w:val="both"/>
        <w:rPr>
          <w:rFonts w:ascii="Century Gothic" w:hAnsi="Century Gothic"/>
          <w:lang w:val="en-IE"/>
        </w:rPr>
      </w:pPr>
    </w:p>
    <w:p w14:paraId="4691F2FA" w14:textId="77777777" w:rsidR="009E72FE" w:rsidRDefault="009E72FE" w:rsidP="00B92ADC">
      <w:pPr>
        <w:tabs>
          <w:tab w:val="left" w:pos="1985"/>
        </w:tabs>
        <w:jc w:val="both"/>
        <w:rPr>
          <w:rFonts w:ascii="Century Gothic" w:hAnsi="Century Gothic"/>
          <w:lang w:val="en-IE"/>
        </w:rPr>
      </w:pPr>
    </w:p>
    <w:p w14:paraId="59A94E9B" w14:textId="77777777" w:rsidR="009E72FE" w:rsidRPr="005E6166" w:rsidRDefault="009E72FE" w:rsidP="00B92ADC">
      <w:pPr>
        <w:tabs>
          <w:tab w:val="left" w:pos="1985"/>
        </w:tabs>
        <w:jc w:val="both"/>
        <w:rPr>
          <w:rFonts w:ascii="Century Gothic" w:hAnsi="Century Gothic"/>
          <w:lang w:val="en-IE"/>
        </w:rPr>
        <w:sectPr w:rsidR="009E72FE" w:rsidRPr="005E6166" w:rsidSect="00A05645">
          <w:pgSz w:w="16838" w:h="11906" w:orient="landscape" w:code="9"/>
          <w:pgMar w:top="720" w:right="720" w:bottom="720" w:left="720" w:header="720" w:footer="720" w:gutter="0"/>
          <w:cols w:space="720"/>
          <w:titlePg/>
          <w:docGrid w:linePitch="326"/>
        </w:sectPr>
      </w:pPr>
    </w:p>
    <w:p w14:paraId="4F398725" w14:textId="77777777" w:rsidR="00B92ADC" w:rsidRDefault="00B92ADC">
      <w:pPr>
        <w:rPr>
          <w:rFonts w:ascii="Century Gothic" w:hAnsi="Century Gothic"/>
          <w:sz w:val="20"/>
          <w:lang w:val="en-IE"/>
        </w:rPr>
      </w:pPr>
    </w:p>
    <w:p w14:paraId="6D02736D" w14:textId="77777777" w:rsidR="00B92ADC" w:rsidRDefault="00B92ADC">
      <w:pPr>
        <w:tabs>
          <w:tab w:val="left" w:pos="1985"/>
        </w:tabs>
        <w:jc w:val="both"/>
        <w:rPr>
          <w:rFonts w:ascii="Century Gothic" w:hAnsi="Century Gothic"/>
          <w:sz w:val="20"/>
          <w:lang w:val="en-IE"/>
        </w:rPr>
      </w:pPr>
    </w:p>
    <w:p w14:paraId="12130666" w14:textId="77777777" w:rsidR="00B92ADC" w:rsidRPr="00E052CE" w:rsidRDefault="00B92ADC">
      <w:pPr>
        <w:tabs>
          <w:tab w:val="left" w:pos="1985"/>
        </w:tabs>
        <w:jc w:val="both"/>
        <w:rPr>
          <w:rFonts w:ascii="Century Gothic" w:hAnsi="Century Gothic"/>
          <w:sz w:val="20"/>
          <w:lang w:val="en-IE"/>
        </w:rPr>
      </w:pPr>
    </w:p>
    <w:p w14:paraId="7EE93CCF" w14:textId="77777777" w:rsidR="00EB5AB2" w:rsidRDefault="00EB5AB2">
      <w:pPr>
        <w:pStyle w:val="Heading4"/>
        <w:tabs>
          <w:tab w:val="left" w:pos="1985"/>
        </w:tabs>
      </w:pPr>
      <w:r>
        <w:t>Published Summary of Procurements</w:t>
      </w:r>
    </w:p>
    <w:p w14:paraId="54CED586" w14:textId="77777777" w:rsidR="002E25BC" w:rsidRPr="002E25BC" w:rsidRDefault="002E25BC" w:rsidP="002E25BC">
      <w:pPr>
        <w:rPr>
          <w:lang w:val="en-IE"/>
        </w:rPr>
      </w:pPr>
    </w:p>
    <w:p w14:paraId="1DE24721" w14:textId="77777777" w:rsidR="00EB5AB2" w:rsidRDefault="00EB5AB2">
      <w:pPr>
        <w:tabs>
          <w:tab w:val="left" w:pos="1985"/>
        </w:tabs>
        <w:jc w:val="both"/>
        <w:rPr>
          <w:rFonts w:ascii="Century Gothic" w:hAnsi="Century Gothic"/>
          <w:lang w:val="en-IE"/>
        </w:rPr>
      </w:pPr>
      <w:r>
        <w:rPr>
          <w:rFonts w:ascii="Century Gothic" w:hAnsi="Century Gothic"/>
          <w:lang w:val="en-IE"/>
        </w:rPr>
        <w:t xml:space="preserve">As part of the Quality Assurance process in the Public Spending Code, Galway City Council is required to publish summary information of all procurements </w:t>
      </w:r>
      <w:proofErr w:type="gramStart"/>
      <w:r>
        <w:rPr>
          <w:rFonts w:ascii="Century Gothic" w:hAnsi="Century Gothic"/>
          <w:lang w:val="en-IE"/>
        </w:rPr>
        <w:t>in excess of</w:t>
      </w:r>
      <w:proofErr w:type="gramEnd"/>
      <w:r>
        <w:rPr>
          <w:rFonts w:ascii="Century Gothic" w:hAnsi="Century Gothic"/>
          <w:lang w:val="en-IE"/>
        </w:rPr>
        <w:t xml:space="preserve"> €10</w:t>
      </w:r>
      <w:r w:rsidR="00744A41">
        <w:rPr>
          <w:rFonts w:ascii="Century Gothic" w:hAnsi="Century Gothic"/>
          <w:lang w:val="en-IE"/>
        </w:rPr>
        <w:t xml:space="preserve"> </w:t>
      </w:r>
      <w:r>
        <w:rPr>
          <w:rFonts w:ascii="Century Gothic" w:hAnsi="Century Gothic"/>
          <w:lang w:val="en-IE"/>
        </w:rPr>
        <w:t>m</w:t>
      </w:r>
      <w:r w:rsidR="00744A41">
        <w:rPr>
          <w:rFonts w:ascii="Century Gothic" w:hAnsi="Century Gothic"/>
          <w:lang w:val="en-IE"/>
        </w:rPr>
        <w:t>illion</w:t>
      </w:r>
      <w:r>
        <w:rPr>
          <w:rFonts w:ascii="Century Gothic" w:hAnsi="Century Gothic"/>
          <w:lang w:val="en-IE"/>
        </w:rPr>
        <w:t>.</w:t>
      </w:r>
    </w:p>
    <w:p w14:paraId="0CCF817A" w14:textId="77777777" w:rsidR="002E25BC" w:rsidRDefault="002E25BC">
      <w:pPr>
        <w:tabs>
          <w:tab w:val="left" w:pos="1985"/>
        </w:tabs>
        <w:jc w:val="both"/>
        <w:rPr>
          <w:rFonts w:ascii="Century Gothic" w:hAnsi="Century Gothic"/>
          <w:lang w:val="en-IE"/>
        </w:rPr>
      </w:pPr>
    </w:p>
    <w:p w14:paraId="0FA6D98C" w14:textId="181F7809" w:rsidR="00480465" w:rsidRDefault="00EB5AB2" w:rsidP="00E052CE">
      <w:pPr>
        <w:tabs>
          <w:tab w:val="left" w:pos="1985"/>
        </w:tabs>
        <w:jc w:val="both"/>
        <w:rPr>
          <w:rFonts w:ascii="Century Gothic" w:hAnsi="Century Gothic"/>
          <w:lang w:val="en-IE"/>
        </w:rPr>
      </w:pPr>
      <w:r>
        <w:rPr>
          <w:rFonts w:ascii="Century Gothic" w:hAnsi="Century Gothic"/>
          <w:lang w:val="en-IE"/>
        </w:rPr>
        <w:t xml:space="preserve">It </w:t>
      </w:r>
      <w:r w:rsidR="00861351">
        <w:rPr>
          <w:rFonts w:ascii="Century Gothic" w:hAnsi="Century Gothic"/>
          <w:lang w:val="en-IE"/>
        </w:rPr>
        <w:t>is</w:t>
      </w:r>
      <w:r>
        <w:rPr>
          <w:rFonts w:ascii="Century Gothic" w:hAnsi="Century Gothic"/>
          <w:lang w:val="en-IE"/>
        </w:rPr>
        <w:t xml:space="preserve"> confirmed that the City Council </w:t>
      </w:r>
      <w:r w:rsidRPr="000E564B">
        <w:rPr>
          <w:rFonts w:ascii="Century Gothic" w:hAnsi="Century Gothic"/>
          <w:b/>
          <w:lang w:val="en-IE"/>
        </w:rPr>
        <w:t>did not</w:t>
      </w:r>
      <w:r w:rsidRPr="00E608D3">
        <w:rPr>
          <w:rFonts w:ascii="Century Gothic" w:hAnsi="Century Gothic"/>
          <w:b/>
          <w:lang w:val="en-IE"/>
        </w:rPr>
        <w:t xml:space="preserve"> </w:t>
      </w:r>
      <w:r w:rsidR="00B153C3">
        <w:rPr>
          <w:rFonts w:ascii="Century Gothic" w:hAnsi="Century Gothic"/>
          <w:b/>
          <w:lang w:val="en-IE"/>
        </w:rPr>
        <w:t>undertake</w:t>
      </w:r>
      <w:r>
        <w:rPr>
          <w:rFonts w:ascii="Century Gothic" w:hAnsi="Century Gothic"/>
          <w:lang w:val="en-IE"/>
        </w:rPr>
        <w:t xml:space="preserve"> any </w:t>
      </w:r>
      <w:r w:rsidR="00B153C3">
        <w:rPr>
          <w:rFonts w:ascii="Century Gothic" w:hAnsi="Century Gothic"/>
          <w:lang w:val="en-IE"/>
        </w:rPr>
        <w:t xml:space="preserve">single </w:t>
      </w:r>
      <w:r>
        <w:rPr>
          <w:rFonts w:ascii="Century Gothic" w:hAnsi="Century Gothic"/>
          <w:lang w:val="en-IE"/>
        </w:rPr>
        <w:t xml:space="preserve">procurement </w:t>
      </w:r>
      <w:r w:rsidR="00861351">
        <w:rPr>
          <w:rFonts w:ascii="Century Gothic" w:hAnsi="Century Gothic"/>
          <w:lang w:val="en-IE"/>
        </w:rPr>
        <w:t xml:space="preserve">worth </w:t>
      </w:r>
      <w:r>
        <w:rPr>
          <w:rFonts w:ascii="Century Gothic" w:hAnsi="Century Gothic"/>
          <w:lang w:val="en-IE"/>
        </w:rPr>
        <w:t>over €10</w:t>
      </w:r>
      <w:r w:rsidR="00744A41">
        <w:rPr>
          <w:rFonts w:ascii="Century Gothic" w:hAnsi="Century Gothic"/>
          <w:lang w:val="en-IE"/>
        </w:rPr>
        <w:t xml:space="preserve"> </w:t>
      </w:r>
      <w:r>
        <w:rPr>
          <w:rFonts w:ascii="Century Gothic" w:hAnsi="Century Gothic"/>
          <w:lang w:val="en-IE"/>
        </w:rPr>
        <w:t>m</w:t>
      </w:r>
      <w:r w:rsidR="00744A41">
        <w:rPr>
          <w:rFonts w:ascii="Century Gothic" w:hAnsi="Century Gothic"/>
          <w:lang w:val="en-IE"/>
        </w:rPr>
        <w:t>illion</w:t>
      </w:r>
      <w:r>
        <w:rPr>
          <w:rFonts w:ascii="Century Gothic" w:hAnsi="Century Gothic"/>
          <w:lang w:val="en-IE"/>
        </w:rPr>
        <w:t xml:space="preserve"> </w:t>
      </w:r>
      <w:r w:rsidR="00B153C3">
        <w:rPr>
          <w:rFonts w:ascii="Century Gothic" w:hAnsi="Century Gothic"/>
          <w:lang w:val="en-IE"/>
        </w:rPr>
        <w:t>during</w:t>
      </w:r>
      <w:r>
        <w:rPr>
          <w:rFonts w:ascii="Century Gothic" w:hAnsi="Century Gothic"/>
          <w:lang w:val="en-IE"/>
        </w:rPr>
        <w:t xml:space="preserve"> 20</w:t>
      </w:r>
      <w:r w:rsidR="0045230F">
        <w:rPr>
          <w:rFonts w:ascii="Century Gothic" w:hAnsi="Century Gothic"/>
          <w:lang w:val="en-IE"/>
        </w:rPr>
        <w:t>2</w:t>
      </w:r>
      <w:r w:rsidR="00D07032">
        <w:rPr>
          <w:rFonts w:ascii="Century Gothic" w:hAnsi="Century Gothic"/>
          <w:lang w:val="en-IE"/>
        </w:rPr>
        <w:t>2</w:t>
      </w:r>
      <w:r w:rsidR="00480465">
        <w:rPr>
          <w:rFonts w:ascii="Century Gothic" w:hAnsi="Century Gothic"/>
          <w:lang w:val="en-IE"/>
        </w:rPr>
        <w:t>.</w:t>
      </w:r>
    </w:p>
    <w:p w14:paraId="0EF49A7E" w14:textId="77777777" w:rsidR="00861351" w:rsidRDefault="00861351" w:rsidP="00E052CE">
      <w:pPr>
        <w:tabs>
          <w:tab w:val="left" w:pos="1985"/>
        </w:tabs>
        <w:jc w:val="both"/>
        <w:rPr>
          <w:rFonts w:ascii="Century Gothic" w:hAnsi="Century Gothic"/>
          <w:lang w:val="en-IE"/>
        </w:rPr>
      </w:pPr>
    </w:p>
    <w:p w14:paraId="58D783F3" w14:textId="77777777" w:rsidR="00861351" w:rsidRDefault="00861351" w:rsidP="00E052CE">
      <w:pPr>
        <w:tabs>
          <w:tab w:val="left" w:pos="1985"/>
        </w:tabs>
        <w:jc w:val="both"/>
        <w:rPr>
          <w:rFonts w:ascii="Century Gothic" w:hAnsi="Century Gothic"/>
          <w:lang w:val="en-IE"/>
        </w:rPr>
      </w:pPr>
    </w:p>
    <w:p w14:paraId="5EEDF99C" w14:textId="77777777" w:rsidR="00EB5AB2" w:rsidRDefault="00923157" w:rsidP="00861351">
      <w:pPr>
        <w:tabs>
          <w:tab w:val="left" w:pos="1985"/>
        </w:tabs>
        <w:jc w:val="both"/>
        <w:rPr>
          <w:b/>
        </w:rPr>
      </w:pPr>
      <w:r>
        <w:rPr>
          <w:b/>
        </w:rPr>
        <w:br w:type="page"/>
      </w:r>
    </w:p>
    <w:p w14:paraId="6A8DCAEF" w14:textId="77777777" w:rsidR="00EB5AB2" w:rsidRDefault="00EB5AB2"/>
    <w:p w14:paraId="5CAF16ED" w14:textId="77777777" w:rsidR="00EB5AB2" w:rsidRDefault="00EB5AB2">
      <w:pPr>
        <w:pStyle w:val="Heading4"/>
      </w:pPr>
      <w:r>
        <w:t>Part C – Assessment of Compliance</w:t>
      </w:r>
    </w:p>
    <w:p w14:paraId="440F75B6" w14:textId="77777777" w:rsidR="00EB5AB2" w:rsidRDefault="00EB5AB2">
      <w:pPr>
        <w:tabs>
          <w:tab w:val="left" w:pos="1985"/>
        </w:tabs>
        <w:jc w:val="both"/>
        <w:rPr>
          <w:rFonts w:ascii="Century Gothic" w:hAnsi="Century Gothic"/>
          <w:lang w:val="en-IE"/>
        </w:rPr>
      </w:pPr>
    </w:p>
    <w:p w14:paraId="2023AB60" w14:textId="77777777" w:rsidR="00EB5AB2" w:rsidRDefault="00EB5AB2">
      <w:pPr>
        <w:tabs>
          <w:tab w:val="left" w:pos="1985"/>
        </w:tabs>
        <w:jc w:val="both"/>
        <w:rPr>
          <w:rFonts w:ascii="Century Gothic" w:hAnsi="Century Gothic"/>
          <w:lang w:val="en-IE"/>
        </w:rPr>
      </w:pPr>
    </w:p>
    <w:p w14:paraId="137236B4" w14:textId="77777777" w:rsidR="00EB5AB2" w:rsidRDefault="00EB5AB2">
      <w:pPr>
        <w:pStyle w:val="Heading4"/>
        <w:tabs>
          <w:tab w:val="left" w:pos="1985"/>
        </w:tabs>
      </w:pPr>
      <w:r>
        <w:t>Checklist Completion: Approach Taken and Results</w:t>
      </w:r>
    </w:p>
    <w:p w14:paraId="1FA94D0B" w14:textId="77777777" w:rsidR="00EB5AB2" w:rsidRDefault="00EB5AB2">
      <w:pPr>
        <w:rPr>
          <w:rFonts w:ascii="Century Gothic" w:hAnsi="Century Gothic"/>
        </w:rPr>
      </w:pPr>
    </w:p>
    <w:p w14:paraId="3CFD5492" w14:textId="77777777" w:rsidR="00EB5AB2" w:rsidRDefault="00EB5AB2">
      <w:pPr>
        <w:pStyle w:val="BodyText"/>
        <w:rPr>
          <w:lang w:val="en-GB"/>
        </w:rPr>
      </w:pPr>
      <w:r>
        <w:rPr>
          <w:lang w:val="en-GB"/>
        </w:rPr>
        <w:t xml:space="preserve">The third step in the Quality Assurance process involves completing a set of checklists covering all listed expenditure.  The </w:t>
      </w:r>
      <w:proofErr w:type="gramStart"/>
      <w:r>
        <w:rPr>
          <w:lang w:val="en-GB"/>
        </w:rPr>
        <w:t>high level</w:t>
      </w:r>
      <w:proofErr w:type="gramEnd"/>
      <w:r>
        <w:rPr>
          <w:lang w:val="en-GB"/>
        </w:rPr>
        <w:t xml:space="preserve"> checks in Step 3 of the QA process are based on self-assessment </w:t>
      </w:r>
      <w:r w:rsidR="004D07A8">
        <w:rPr>
          <w:lang w:val="en-GB"/>
        </w:rPr>
        <w:t>of</w:t>
      </w:r>
      <w:r>
        <w:rPr>
          <w:lang w:val="en-GB"/>
        </w:rPr>
        <w:t xml:space="preserve"> the various Directorates in Galway City Council, in respect of guidelines set out in the Public Spending Code.  There are seven checklists in total:</w:t>
      </w:r>
    </w:p>
    <w:p w14:paraId="5DA23A02" w14:textId="77777777" w:rsidR="00EB5AB2" w:rsidRDefault="00EB5AB2">
      <w:pPr>
        <w:jc w:val="both"/>
        <w:rPr>
          <w:rFonts w:ascii="Century Gothic" w:hAnsi="Century Gothic"/>
        </w:rPr>
      </w:pPr>
    </w:p>
    <w:p w14:paraId="339837D1" w14:textId="77777777" w:rsidR="00744A41" w:rsidRDefault="00EB5AB2" w:rsidP="00744A41">
      <w:pPr>
        <w:ind w:left="1560" w:hanging="1560"/>
        <w:jc w:val="both"/>
        <w:rPr>
          <w:rFonts w:ascii="Century Gothic" w:hAnsi="Century Gothic"/>
        </w:rPr>
      </w:pPr>
      <w:r>
        <w:rPr>
          <w:rFonts w:ascii="Century Gothic" w:hAnsi="Century Gothic"/>
          <w:b/>
        </w:rPr>
        <w:t>Checklist 1:</w:t>
      </w:r>
      <w:r>
        <w:rPr>
          <w:rFonts w:ascii="Century Gothic" w:hAnsi="Century Gothic"/>
        </w:rPr>
        <w:t xml:space="preserve"> General Obligations, </w:t>
      </w:r>
    </w:p>
    <w:p w14:paraId="71A225A3" w14:textId="77777777" w:rsidR="00EB5AB2" w:rsidRDefault="00744A41" w:rsidP="00744A41">
      <w:pPr>
        <w:ind w:left="1560" w:hanging="120"/>
        <w:jc w:val="both"/>
        <w:rPr>
          <w:rFonts w:ascii="Century Gothic" w:hAnsi="Century Gothic"/>
        </w:rPr>
      </w:pPr>
      <w:r>
        <w:rPr>
          <w:rFonts w:ascii="Century Gothic" w:hAnsi="Century Gothic"/>
        </w:rPr>
        <w:t>(</w:t>
      </w:r>
      <w:r w:rsidR="00EB5AB2">
        <w:rPr>
          <w:rFonts w:ascii="Century Gothic" w:hAnsi="Century Gothic"/>
        </w:rPr>
        <w:t>not specific to individual projects / programmes</w:t>
      </w:r>
      <w:r>
        <w:rPr>
          <w:rFonts w:ascii="Century Gothic" w:hAnsi="Century Gothic"/>
        </w:rPr>
        <w:t>)</w:t>
      </w:r>
    </w:p>
    <w:p w14:paraId="748AE0D0" w14:textId="77777777" w:rsidR="00EB5AB2" w:rsidRDefault="00EB5AB2">
      <w:pPr>
        <w:jc w:val="both"/>
        <w:rPr>
          <w:rFonts w:ascii="Century Gothic" w:hAnsi="Century Gothic"/>
        </w:rPr>
      </w:pPr>
      <w:r>
        <w:rPr>
          <w:rFonts w:ascii="Century Gothic" w:hAnsi="Century Gothic"/>
          <w:b/>
        </w:rPr>
        <w:t>Checklist 2:</w:t>
      </w:r>
      <w:r>
        <w:rPr>
          <w:rFonts w:ascii="Century Gothic" w:hAnsi="Century Gothic"/>
        </w:rPr>
        <w:t xml:space="preserve"> Capital Projects being </w:t>
      </w:r>
      <w:proofErr w:type="gramStart"/>
      <w:r>
        <w:rPr>
          <w:rFonts w:ascii="Century Gothic" w:hAnsi="Century Gothic"/>
        </w:rPr>
        <w:t>considered</w:t>
      </w:r>
      <w:proofErr w:type="gramEnd"/>
    </w:p>
    <w:p w14:paraId="0EDF7C7C" w14:textId="77777777" w:rsidR="00EB5AB2" w:rsidRDefault="00EB5AB2">
      <w:pPr>
        <w:jc w:val="both"/>
        <w:rPr>
          <w:rFonts w:ascii="Century Gothic" w:hAnsi="Century Gothic"/>
        </w:rPr>
      </w:pPr>
      <w:r>
        <w:rPr>
          <w:rFonts w:ascii="Century Gothic" w:hAnsi="Century Gothic"/>
          <w:b/>
        </w:rPr>
        <w:t xml:space="preserve">Checklist 3: </w:t>
      </w:r>
      <w:r>
        <w:rPr>
          <w:rFonts w:ascii="Century Gothic" w:hAnsi="Century Gothic"/>
        </w:rPr>
        <w:t xml:space="preserve">Current expenditure being </w:t>
      </w:r>
      <w:proofErr w:type="gramStart"/>
      <w:r>
        <w:rPr>
          <w:rFonts w:ascii="Century Gothic" w:hAnsi="Century Gothic"/>
        </w:rPr>
        <w:t>considered</w:t>
      </w:r>
      <w:proofErr w:type="gramEnd"/>
    </w:p>
    <w:p w14:paraId="2EB74A55" w14:textId="77777777" w:rsidR="00EB5AB2" w:rsidRDefault="00EB5AB2">
      <w:pPr>
        <w:jc w:val="both"/>
        <w:rPr>
          <w:rFonts w:ascii="Century Gothic" w:hAnsi="Century Gothic"/>
        </w:rPr>
      </w:pPr>
      <w:r>
        <w:rPr>
          <w:rFonts w:ascii="Century Gothic" w:hAnsi="Century Gothic"/>
          <w:b/>
        </w:rPr>
        <w:t>Checklist 4:</w:t>
      </w:r>
      <w:r>
        <w:rPr>
          <w:rFonts w:ascii="Century Gothic" w:hAnsi="Century Gothic"/>
        </w:rPr>
        <w:t xml:space="preserve"> Capital expenditure being </w:t>
      </w:r>
      <w:proofErr w:type="gramStart"/>
      <w:r>
        <w:rPr>
          <w:rFonts w:ascii="Century Gothic" w:hAnsi="Century Gothic"/>
        </w:rPr>
        <w:t>incurred</w:t>
      </w:r>
      <w:proofErr w:type="gramEnd"/>
    </w:p>
    <w:p w14:paraId="48AB7BF1" w14:textId="77777777" w:rsidR="00EB5AB2" w:rsidRDefault="00EB5AB2">
      <w:pPr>
        <w:jc w:val="both"/>
        <w:rPr>
          <w:rFonts w:ascii="Century Gothic" w:hAnsi="Century Gothic"/>
        </w:rPr>
      </w:pPr>
      <w:r>
        <w:rPr>
          <w:rFonts w:ascii="Century Gothic" w:hAnsi="Century Gothic"/>
          <w:b/>
        </w:rPr>
        <w:t>Checklist 5:</w:t>
      </w:r>
      <w:r>
        <w:rPr>
          <w:rFonts w:ascii="Century Gothic" w:hAnsi="Century Gothic"/>
        </w:rPr>
        <w:t xml:space="preserve"> Current expenditure being </w:t>
      </w:r>
      <w:proofErr w:type="gramStart"/>
      <w:r>
        <w:rPr>
          <w:rFonts w:ascii="Century Gothic" w:hAnsi="Century Gothic"/>
        </w:rPr>
        <w:t>incurred</w:t>
      </w:r>
      <w:proofErr w:type="gramEnd"/>
    </w:p>
    <w:p w14:paraId="75BE96F4" w14:textId="77777777" w:rsidR="00EB5AB2" w:rsidRDefault="00EB5AB2">
      <w:pPr>
        <w:jc w:val="both"/>
        <w:rPr>
          <w:rFonts w:ascii="Century Gothic" w:hAnsi="Century Gothic"/>
        </w:rPr>
      </w:pPr>
      <w:r>
        <w:rPr>
          <w:rFonts w:ascii="Century Gothic" w:hAnsi="Century Gothic"/>
          <w:b/>
        </w:rPr>
        <w:t>Checklist 6:</w:t>
      </w:r>
      <w:r>
        <w:rPr>
          <w:rFonts w:ascii="Century Gothic" w:hAnsi="Century Gothic"/>
        </w:rPr>
        <w:t xml:space="preserve"> Capital expenditure </w:t>
      </w:r>
      <w:proofErr w:type="gramStart"/>
      <w:r>
        <w:rPr>
          <w:rFonts w:ascii="Century Gothic" w:hAnsi="Century Gothic"/>
        </w:rPr>
        <w:t>completed</w:t>
      </w:r>
      <w:proofErr w:type="gramEnd"/>
    </w:p>
    <w:p w14:paraId="2BB1F6A5" w14:textId="77777777" w:rsidR="00EB5AB2" w:rsidRDefault="00EB5AB2">
      <w:pPr>
        <w:jc w:val="both"/>
        <w:rPr>
          <w:rFonts w:ascii="Century Gothic" w:hAnsi="Century Gothic"/>
        </w:rPr>
      </w:pPr>
      <w:r>
        <w:rPr>
          <w:rFonts w:ascii="Century Gothic" w:hAnsi="Century Gothic"/>
          <w:b/>
        </w:rPr>
        <w:t>Checklist 7:</w:t>
      </w:r>
      <w:r>
        <w:rPr>
          <w:rFonts w:ascii="Century Gothic" w:hAnsi="Century Gothic"/>
        </w:rPr>
        <w:t xml:space="preserve"> Current expenditure </w:t>
      </w:r>
      <w:proofErr w:type="gramStart"/>
      <w:r>
        <w:rPr>
          <w:rFonts w:ascii="Century Gothic" w:hAnsi="Century Gothic"/>
        </w:rPr>
        <w:t>completed</w:t>
      </w:r>
      <w:proofErr w:type="gramEnd"/>
    </w:p>
    <w:p w14:paraId="654FCFE9" w14:textId="77777777" w:rsidR="00EB5AB2" w:rsidRDefault="00EB5AB2">
      <w:pPr>
        <w:jc w:val="both"/>
        <w:rPr>
          <w:rFonts w:ascii="Century Gothic" w:hAnsi="Century Gothic"/>
        </w:rPr>
      </w:pPr>
    </w:p>
    <w:p w14:paraId="41E811C9" w14:textId="77777777" w:rsidR="00EB5AB2" w:rsidRDefault="00EB5AB2">
      <w:pPr>
        <w:jc w:val="both"/>
        <w:rPr>
          <w:rFonts w:ascii="Century Gothic" w:hAnsi="Century Gothic"/>
        </w:rPr>
      </w:pPr>
    </w:p>
    <w:p w14:paraId="7EFF1452" w14:textId="77777777" w:rsidR="00EB5AB2" w:rsidRDefault="00EB5AB2">
      <w:pPr>
        <w:pStyle w:val="BodyText"/>
        <w:rPr>
          <w:lang w:val="en-GB"/>
        </w:rPr>
      </w:pPr>
      <w:r>
        <w:rPr>
          <w:lang w:val="en-GB"/>
        </w:rPr>
        <w:t xml:space="preserve">Galway City Council has completed the full set of checklists 1 – 7.  The following pages list the completed checklist results. </w:t>
      </w:r>
      <w:r w:rsidR="004D07A8">
        <w:rPr>
          <w:lang w:val="en-GB"/>
        </w:rPr>
        <w:t xml:space="preserve"> </w:t>
      </w:r>
      <w:r>
        <w:rPr>
          <w:lang w:val="en-GB"/>
        </w:rPr>
        <w:t xml:space="preserve"> In addition to the self-assessed scoring, </w:t>
      </w:r>
      <w:proofErr w:type="gramStart"/>
      <w:r>
        <w:rPr>
          <w:lang w:val="en-GB"/>
        </w:rPr>
        <w:t>the majority of</w:t>
      </w:r>
      <w:proofErr w:type="gramEnd"/>
      <w:r>
        <w:rPr>
          <w:lang w:val="en-GB"/>
        </w:rPr>
        <w:t xml:space="preserve"> answers are accompanied by explanatory comments.  </w:t>
      </w:r>
      <w:r w:rsidR="004D07A8">
        <w:rPr>
          <w:lang w:val="en-GB"/>
        </w:rPr>
        <w:t xml:space="preserve">  </w:t>
      </w:r>
      <w:r>
        <w:rPr>
          <w:lang w:val="en-GB"/>
        </w:rPr>
        <w:t xml:space="preserve">Each question in the checklist is judged on a </w:t>
      </w:r>
      <w:r w:rsidR="00441E34">
        <w:rPr>
          <w:lang w:val="en-GB"/>
        </w:rPr>
        <w:t>4</w:t>
      </w:r>
      <w:r>
        <w:rPr>
          <w:lang w:val="en-GB"/>
        </w:rPr>
        <w:t>-point scale:</w:t>
      </w:r>
    </w:p>
    <w:p w14:paraId="1ABB98DC" w14:textId="77777777" w:rsidR="00EB5AB2" w:rsidRDefault="00EB5AB2">
      <w:pPr>
        <w:jc w:val="both"/>
        <w:rPr>
          <w:rFonts w:ascii="Century Gothic" w:hAnsi="Century Gothic"/>
        </w:rPr>
      </w:pPr>
    </w:p>
    <w:p w14:paraId="29E3E832" w14:textId="77777777" w:rsidR="00441E34" w:rsidRPr="00744A41" w:rsidRDefault="00441E34" w:rsidP="004D07A8">
      <w:pPr>
        <w:pStyle w:val="ListParagraph"/>
        <w:spacing w:after="0" w:line="300" w:lineRule="atLeast"/>
        <w:ind w:left="2127" w:hanging="1276"/>
        <w:jc w:val="both"/>
        <w:rPr>
          <w:rFonts w:ascii="Century Gothic" w:hAnsi="Century Gothic"/>
          <w:szCs w:val="24"/>
        </w:rPr>
      </w:pPr>
      <w:r w:rsidRPr="00744A41">
        <w:rPr>
          <w:rFonts w:ascii="Century Gothic" w:hAnsi="Century Gothic"/>
          <w:b/>
          <w:szCs w:val="24"/>
        </w:rPr>
        <w:t>1</w:t>
      </w:r>
      <w:r w:rsidRPr="00744A41">
        <w:rPr>
          <w:rFonts w:ascii="Century Gothic" w:hAnsi="Century Gothic"/>
          <w:b/>
          <w:szCs w:val="24"/>
        </w:rPr>
        <w:tab/>
      </w:r>
      <w:r w:rsidRPr="000E2B92">
        <w:rPr>
          <w:rFonts w:ascii="Century Gothic" w:hAnsi="Century Gothic"/>
          <w:sz w:val="24"/>
          <w:szCs w:val="24"/>
        </w:rPr>
        <w:t>Scope for significant improvements = a score of 1</w:t>
      </w:r>
    </w:p>
    <w:p w14:paraId="274F8974" w14:textId="77777777" w:rsidR="00441E34" w:rsidRPr="00744A41" w:rsidRDefault="00441E34" w:rsidP="00012093">
      <w:pPr>
        <w:pStyle w:val="ListParagraph"/>
        <w:spacing w:after="0" w:line="300" w:lineRule="atLeast"/>
        <w:ind w:left="2127" w:hanging="1276"/>
        <w:jc w:val="both"/>
        <w:rPr>
          <w:rFonts w:ascii="Century Gothic" w:hAnsi="Century Gothic"/>
          <w:sz w:val="24"/>
          <w:szCs w:val="24"/>
        </w:rPr>
      </w:pPr>
      <w:r w:rsidRPr="00744A41">
        <w:rPr>
          <w:rFonts w:ascii="Century Gothic" w:hAnsi="Century Gothic"/>
          <w:b/>
          <w:sz w:val="24"/>
          <w:szCs w:val="24"/>
        </w:rPr>
        <w:t>2</w:t>
      </w:r>
      <w:r w:rsidRPr="00744A41">
        <w:rPr>
          <w:rFonts w:ascii="Century Gothic" w:hAnsi="Century Gothic"/>
          <w:b/>
          <w:sz w:val="24"/>
          <w:szCs w:val="24"/>
        </w:rPr>
        <w:tab/>
      </w:r>
      <w:r w:rsidRPr="00744A41">
        <w:rPr>
          <w:rFonts w:ascii="Century Gothic" w:hAnsi="Century Gothic"/>
          <w:sz w:val="24"/>
          <w:szCs w:val="24"/>
        </w:rPr>
        <w:t>Compliant but with some improvement necessary = a score of 2</w:t>
      </w:r>
    </w:p>
    <w:p w14:paraId="3158DEF7" w14:textId="77777777" w:rsidR="00441E34" w:rsidRPr="00744A41" w:rsidRDefault="00441E34" w:rsidP="004D07A8">
      <w:pPr>
        <w:pStyle w:val="ListParagraph"/>
        <w:spacing w:after="0" w:line="300" w:lineRule="atLeast"/>
        <w:ind w:left="2127" w:hanging="1276"/>
        <w:jc w:val="both"/>
        <w:rPr>
          <w:rFonts w:ascii="Century Gothic" w:hAnsi="Century Gothic"/>
          <w:sz w:val="24"/>
          <w:szCs w:val="24"/>
        </w:rPr>
      </w:pPr>
      <w:r w:rsidRPr="00744A41">
        <w:rPr>
          <w:rFonts w:ascii="Century Gothic" w:hAnsi="Century Gothic"/>
          <w:b/>
          <w:sz w:val="24"/>
          <w:szCs w:val="24"/>
        </w:rPr>
        <w:t>3</w:t>
      </w:r>
      <w:r w:rsidRPr="00744A41">
        <w:rPr>
          <w:rFonts w:ascii="Century Gothic" w:hAnsi="Century Gothic"/>
          <w:b/>
          <w:sz w:val="24"/>
          <w:szCs w:val="24"/>
        </w:rPr>
        <w:tab/>
      </w:r>
      <w:r w:rsidRPr="00744A41">
        <w:rPr>
          <w:rFonts w:ascii="Century Gothic" w:hAnsi="Century Gothic"/>
          <w:sz w:val="24"/>
          <w:szCs w:val="24"/>
        </w:rPr>
        <w:t>Broadly Compliant = a score of 3</w:t>
      </w:r>
    </w:p>
    <w:p w14:paraId="396E6992" w14:textId="77777777" w:rsidR="00EB5AB2" w:rsidRPr="00744A41" w:rsidRDefault="00EB5AB2" w:rsidP="004D07A8">
      <w:pPr>
        <w:pStyle w:val="ListParagraph"/>
        <w:spacing w:after="0" w:line="300" w:lineRule="atLeast"/>
        <w:ind w:left="2127" w:hanging="1276"/>
        <w:jc w:val="both"/>
        <w:rPr>
          <w:rFonts w:ascii="Century Gothic" w:hAnsi="Century Gothic"/>
          <w:sz w:val="24"/>
          <w:szCs w:val="24"/>
        </w:rPr>
      </w:pPr>
      <w:r w:rsidRPr="00744A41">
        <w:rPr>
          <w:rFonts w:ascii="Century Gothic" w:hAnsi="Century Gothic"/>
          <w:b/>
          <w:sz w:val="24"/>
          <w:szCs w:val="24"/>
        </w:rPr>
        <w:t>N/A</w:t>
      </w:r>
      <w:r w:rsidR="004D07A8">
        <w:rPr>
          <w:rFonts w:ascii="Century Gothic" w:hAnsi="Century Gothic"/>
          <w:sz w:val="24"/>
          <w:szCs w:val="24"/>
        </w:rPr>
        <w:tab/>
      </w:r>
      <w:r w:rsidRPr="00744A41">
        <w:rPr>
          <w:rFonts w:ascii="Century Gothic" w:hAnsi="Century Gothic"/>
          <w:sz w:val="24"/>
          <w:szCs w:val="24"/>
        </w:rPr>
        <w:t>Not Applicable</w:t>
      </w:r>
    </w:p>
    <w:p w14:paraId="5BD4D696" w14:textId="77777777" w:rsidR="00690DB0" w:rsidRDefault="00690DB0" w:rsidP="00441E34">
      <w:pPr>
        <w:pStyle w:val="ListParagraph"/>
        <w:spacing w:line="300" w:lineRule="atLeast"/>
        <w:ind w:left="851"/>
        <w:jc w:val="both"/>
        <w:rPr>
          <w:rFonts w:ascii="Century Gothic" w:hAnsi="Century Gothic"/>
        </w:rPr>
      </w:pPr>
    </w:p>
    <w:p w14:paraId="0F391C73" w14:textId="77777777" w:rsidR="00EB5AB2" w:rsidRDefault="00EB5AB2">
      <w:pPr>
        <w:jc w:val="both"/>
        <w:rPr>
          <w:rFonts w:ascii="Century Gothic" w:hAnsi="Century Gothic"/>
        </w:rPr>
      </w:pPr>
    </w:p>
    <w:p w14:paraId="1D052718" w14:textId="77777777" w:rsidR="0082652A" w:rsidRDefault="0082652A">
      <w:pPr>
        <w:jc w:val="both"/>
        <w:rPr>
          <w:rFonts w:ascii="Century Gothic" w:hAnsi="Century Gothic"/>
        </w:rPr>
      </w:pPr>
    </w:p>
    <w:p w14:paraId="69B989D9" w14:textId="77777777" w:rsidR="0082652A" w:rsidRDefault="0082652A">
      <w:pPr>
        <w:jc w:val="both"/>
        <w:rPr>
          <w:rFonts w:ascii="Century Gothic" w:hAnsi="Century Gothic"/>
        </w:rPr>
      </w:pPr>
    </w:p>
    <w:p w14:paraId="0DEA4AA3" w14:textId="77777777" w:rsidR="0082652A" w:rsidRDefault="0082652A">
      <w:pPr>
        <w:jc w:val="both"/>
        <w:rPr>
          <w:rFonts w:ascii="Century Gothic" w:hAnsi="Century Gothic"/>
        </w:rPr>
      </w:pPr>
    </w:p>
    <w:p w14:paraId="703E0BE7" w14:textId="77777777" w:rsidR="0082652A" w:rsidRDefault="0082652A">
      <w:pPr>
        <w:jc w:val="both"/>
        <w:rPr>
          <w:rFonts w:ascii="Century Gothic" w:hAnsi="Century Gothic"/>
        </w:rPr>
      </w:pPr>
    </w:p>
    <w:p w14:paraId="175BA211" w14:textId="77777777" w:rsidR="00861351" w:rsidRDefault="00861351">
      <w:pPr>
        <w:jc w:val="both"/>
        <w:rPr>
          <w:rFonts w:ascii="Century Gothic" w:hAnsi="Century Gothic"/>
        </w:rPr>
      </w:pPr>
    </w:p>
    <w:p w14:paraId="31653779" w14:textId="77777777" w:rsidR="00EB5AB2" w:rsidRDefault="00EB5AB2">
      <w:pPr>
        <w:jc w:val="both"/>
        <w:rPr>
          <w:rFonts w:ascii="Century Gothic" w:hAnsi="Century Gothic"/>
        </w:rPr>
      </w:pPr>
    </w:p>
    <w:p w14:paraId="130DF9DF" w14:textId="77777777" w:rsidR="00EB5AB2" w:rsidRDefault="00EB5AB2">
      <w:pPr>
        <w:jc w:val="both"/>
        <w:rPr>
          <w:rFonts w:ascii="Century Gothic" w:hAnsi="Century Gothic"/>
        </w:rPr>
      </w:pPr>
    </w:p>
    <w:p w14:paraId="1A379C7B" w14:textId="77777777" w:rsidR="00EB5AB2" w:rsidRDefault="00EB5AB2">
      <w:pPr>
        <w:jc w:val="both"/>
        <w:rPr>
          <w:rFonts w:ascii="Century Gothic" w:hAnsi="Century Gothic"/>
        </w:rPr>
      </w:pPr>
    </w:p>
    <w:p w14:paraId="627AE490" w14:textId="77777777" w:rsidR="00EB5AB2" w:rsidRDefault="00EB5AB2">
      <w:pPr>
        <w:jc w:val="both"/>
        <w:rPr>
          <w:rFonts w:ascii="Century Gothic" w:hAnsi="Century Gothic"/>
        </w:rPr>
      </w:pPr>
    </w:p>
    <w:p w14:paraId="657CD543" w14:textId="77777777" w:rsidR="00D07032" w:rsidRDefault="00D07032" w:rsidP="00D07032">
      <w:pPr>
        <w:spacing w:after="200" w:line="360" w:lineRule="auto"/>
        <w:jc w:val="both"/>
        <w:rPr>
          <w:rFonts w:ascii="Century Gothic" w:hAnsi="Century Gothic"/>
        </w:rPr>
      </w:pPr>
    </w:p>
    <w:p w14:paraId="6E43D65D" w14:textId="010E5DFC" w:rsidR="00D07032" w:rsidRPr="00D07032" w:rsidRDefault="00D07032" w:rsidP="00D07032">
      <w:pPr>
        <w:spacing w:line="360" w:lineRule="auto"/>
        <w:jc w:val="both"/>
        <w:rPr>
          <w:rFonts w:asciiTheme="minorHAnsi" w:eastAsia="Calibri" w:hAnsiTheme="minorHAnsi" w:cs="Tahoma"/>
          <w:b/>
          <w:sz w:val="22"/>
          <w:szCs w:val="22"/>
          <w:lang w:val="en-IE" w:eastAsia="en-US"/>
        </w:rPr>
      </w:pPr>
      <w:r w:rsidRPr="00D07032">
        <w:rPr>
          <w:rFonts w:asciiTheme="minorHAnsi" w:eastAsia="Calibri" w:hAnsiTheme="minorHAnsi" w:cs="Tahoma"/>
          <w:b/>
          <w:sz w:val="22"/>
          <w:szCs w:val="22"/>
          <w:lang w:val="en-IE" w:eastAsia="en-US"/>
        </w:rPr>
        <w:lastRenderedPageBreak/>
        <w:t>Checklist 1 – To be completed in respect of general obligations not specific to individual projects/programmes.</w:t>
      </w:r>
    </w:p>
    <w:tbl>
      <w:tblPr>
        <w:tblW w:w="598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5797"/>
        <w:gridCol w:w="1065"/>
        <w:gridCol w:w="2306"/>
      </w:tblGrid>
      <w:tr w:rsidR="00D07032" w:rsidRPr="00D07032" w14:paraId="0E3AE0D4" w14:textId="77777777" w:rsidTr="00AF1710">
        <w:trPr>
          <w:cantSplit/>
          <w:trHeight w:val="1391"/>
        </w:trPr>
        <w:tc>
          <w:tcPr>
            <w:tcW w:w="385" w:type="pct"/>
            <w:tcBorders>
              <w:top w:val="single" w:sz="4" w:space="0" w:color="auto"/>
              <w:left w:val="single" w:sz="4" w:space="0" w:color="auto"/>
              <w:bottom w:val="single" w:sz="4" w:space="0" w:color="auto"/>
              <w:right w:val="single" w:sz="4" w:space="0" w:color="auto"/>
            </w:tcBorders>
            <w:shd w:val="clear" w:color="auto" w:fill="E6E6E6"/>
          </w:tcPr>
          <w:p w14:paraId="3B8394BD" w14:textId="77777777" w:rsidR="00D07032" w:rsidRPr="00D07032" w:rsidRDefault="00D07032" w:rsidP="00D07032">
            <w:pPr>
              <w:spacing w:after="80" w:line="360" w:lineRule="auto"/>
              <w:rPr>
                <w:rFonts w:ascii="Calibri" w:eastAsia="Calibri" w:hAnsi="Calibri" w:cs="Arial"/>
                <w:b/>
                <w:sz w:val="20"/>
                <w:lang w:val="en-IE" w:eastAsia="en-US"/>
              </w:rPr>
            </w:pPr>
          </w:p>
        </w:tc>
        <w:tc>
          <w:tcPr>
            <w:tcW w:w="2918" w:type="pct"/>
            <w:tcBorders>
              <w:top w:val="single" w:sz="4" w:space="0" w:color="auto"/>
              <w:left w:val="single" w:sz="4" w:space="0" w:color="auto"/>
              <w:bottom w:val="single" w:sz="4" w:space="0" w:color="auto"/>
              <w:right w:val="single" w:sz="4" w:space="0" w:color="auto"/>
            </w:tcBorders>
            <w:shd w:val="clear" w:color="auto" w:fill="E6E6E6"/>
            <w:hideMark/>
          </w:tcPr>
          <w:p w14:paraId="41EDF73E" w14:textId="77777777" w:rsidR="00D07032" w:rsidRPr="00D07032" w:rsidRDefault="00D07032" w:rsidP="00D07032">
            <w:pPr>
              <w:spacing w:after="80" w:line="360" w:lineRule="auto"/>
              <w:rPr>
                <w:rFonts w:ascii="Calibri" w:eastAsia="Calibri" w:hAnsi="Calibri" w:cs="Arial"/>
                <w:b/>
                <w:sz w:val="20"/>
                <w:lang w:val="en-IE" w:eastAsia="en-US"/>
              </w:rPr>
            </w:pPr>
          </w:p>
          <w:p w14:paraId="6132E488" w14:textId="77777777" w:rsidR="00D07032" w:rsidRPr="00D07032" w:rsidRDefault="00D07032" w:rsidP="00D07032">
            <w:pPr>
              <w:spacing w:after="80" w:line="360" w:lineRule="auto"/>
              <w:rPr>
                <w:rFonts w:ascii="Calibri" w:eastAsia="Calibri" w:hAnsi="Calibri" w:cs="Arial"/>
                <w:b/>
                <w:sz w:val="20"/>
                <w:lang w:val="en-IE" w:eastAsia="en-US"/>
              </w:rPr>
            </w:pPr>
            <w:r w:rsidRPr="00D07032">
              <w:rPr>
                <w:rFonts w:ascii="Calibri" w:eastAsia="Calibri" w:hAnsi="Calibri" w:cs="Arial"/>
                <w:b/>
                <w:sz w:val="20"/>
                <w:lang w:val="en-IE" w:eastAsia="en-US"/>
              </w:rPr>
              <w:t>General Obligations not specific to individual projects/programmes.</w:t>
            </w:r>
          </w:p>
        </w:tc>
        <w:tc>
          <w:tcPr>
            <w:tcW w:w="536"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78761B88" w14:textId="77777777" w:rsidR="00D07032" w:rsidRPr="00D07032" w:rsidRDefault="00D07032" w:rsidP="00D07032">
            <w:pPr>
              <w:spacing w:after="80" w:line="256" w:lineRule="auto"/>
              <w:ind w:left="113" w:right="113"/>
              <w:jc w:val="both"/>
              <w:rPr>
                <w:rFonts w:ascii="Calibri" w:eastAsia="Calibri" w:hAnsi="Calibri" w:cs="Arial"/>
                <w:b/>
                <w:sz w:val="20"/>
                <w:lang w:val="en-IE" w:eastAsia="en-US"/>
              </w:rPr>
            </w:pPr>
            <w:r w:rsidRPr="00D07032">
              <w:rPr>
                <w:rFonts w:ascii="Calibri" w:eastAsia="Calibri" w:hAnsi="Calibri" w:cs="Arial"/>
                <w:b/>
                <w:sz w:val="20"/>
                <w:lang w:val="en-IE" w:eastAsia="en-US"/>
              </w:rPr>
              <w:t>Self-Assessed Compliance Rating:  1 - 3</w:t>
            </w:r>
          </w:p>
        </w:tc>
        <w:tc>
          <w:tcPr>
            <w:tcW w:w="1161" w:type="pct"/>
            <w:tcBorders>
              <w:top w:val="single" w:sz="4" w:space="0" w:color="auto"/>
              <w:left w:val="single" w:sz="4" w:space="0" w:color="auto"/>
              <w:bottom w:val="single" w:sz="4" w:space="0" w:color="auto"/>
              <w:right w:val="single" w:sz="4" w:space="0" w:color="auto"/>
            </w:tcBorders>
            <w:shd w:val="clear" w:color="auto" w:fill="E6E6E6"/>
            <w:hideMark/>
          </w:tcPr>
          <w:p w14:paraId="660B2059" w14:textId="77777777" w:rsidR="00D07032" w:rsidRPr="00D07032" w:rsidRDefault="00D07032" w:rsidP="00D07032">
            <w:pPr>
              <w:spacing w:after="80" w:line="360" w:lineRule="auto"/>
              <w:jc w:val="both"/>
              <w:rPr>
                <w:rFonts w:ascii="Calibri" w:eastAsia="Calibri" w:hAnsi="Calibri" w:cs="Arial"/>
                <w:b/>
                <w:sz w:val="20"/>
                <w:lang w:val="en-IE" w:eastAsia="en-US"/>
              </w:rPr>
            </w:pPr>
          </w:p>
          <w:p w14:paraId="53E4DE8E" w14:textId="77777777" w:rsidR="00D07032" w:rsidRPr="00D07032" w:rsidRDefault="00D07032" w:rsidP="00D07032">
            <w:pPr>
              <w:spacing w:after="8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9C2ABE" w:rsidRPr="00D07032" w14:paraId="4CBB3A33" w14:textId="77777777" w:rsidTr="00AF1710">
        <w:trPr>
          <w:trHeight w:val="1157"/>
        </w:trPr>
        <w:tc>
          <w:tcPr>
            <w:tcW w:w="385" w:type="pct"/>
            <w:tcBorders>
              <w:top w:val="single" w:sz="4" w:space="0" w:color="auto"/>
              <w:left w:val="single" w:sz="4" w:space="0" w:color="auto"/>
              <w:bottom w:val="single" w:sz="4" w:space="0" w:color="auto"/>
              <w:right w:val="single" w:sz="4" w:space="0" w:color="auto"/>
            </w:tcBorders>
          </w:tcPr>
          <w:p w14:paraId="03CFE66F"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1.1</w:t>
            </w:r>
          </w:p>
        </w:tc>
        <w:tc>
          <w:tcPr>
            <w:tcW w:w="2918" w:type="pct"/>
            <w:tcBorders>
              <w:top w:val="single" w:sz="4" w:space="0" w:color="auto"/>
              <w:left w:val="single" w:sz="4" w:space="0" w:color="auto"/>
              <w:bottom w:val="single" w:sz="4" w:space="0" w:color="auto"/>
              <w:right w:val="single" w:sz="4" w:space="0" w:color="auto"/>
            </w:tcBorders>
            <w:vAlign w:val="bottom"/>
            <w:hideMark/>
          </w:tcPr>
          <w:p w14:paraId="59C7D364"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Does the organisation ensure, on an ongoing basis, that appropriate people within the organisation and its agencies are aware of their requirements under the Public Spending Code (incl. through training)?</w:t>
            </w:r>
          </w:p>
        </w:tc>
        <w:tc>
          <w:tcPr>
            <w:tcW w:w="536" w:type="pct"/>
            <w:tcBorders>
              <w:top w:val="single" w:sz="4" w:space="0" w:color="auto"/>
              <w:left w:val="single" w:sz="4" w:space="0" w:color="auto"/>
              <w:bottom w:val="single" w:sz="4" w:space="0" w:color="auto"/>
              <w:right w:val="single" w:sz="4" w:space="0" w:color="auto"/>
            </w:tcBorders>
          </w:tcPr>
          <w:p w14:paraId="1C5A7544" w14:textId="77777777" w:rsidR="009C2ABE" w:rsidRPr="00F21B37" w:rsidRDefault="009C2ABE" w:rsidP="00560407">
            <w:pPr>
              <w:jc w:val="center"/>
              <w:rPr>
                <w:rFonts w:asciiTheme="minorHAnsi" w:hAnsiTheme="minorHAnsi" w:cstheme="minorHAnsi"/>
                <w:sz w:val="20"/>
              </w:rPr>
            </w:pPr>
          </w:p>
          <w:p w14:paraId="62057D77" w14:textId="55518506"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161" w:type="pct"/>
            <w:tcBorders>
              <w:top w:val="single" w:sz="4" w:space="0" w:color="auto"/>
              <w:left w:val="single" w:sz="4" w:space="0" w:color="auto"/>
              <w:bottom w:val="single" w:sz="4" w:space="0" w:color="auto"/>
              <w:right w:val="single" w:sz="4" w:space="0" w:color="auto"/>
            </w:tcBorders>
          </w:tcPr>
          <w:p w14:paraId="07AB2BC8" w14:textId="0AE23960"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Relevant staff have been notified of their obligations under the PSC. Training commenced in 202</w:t>
            </w:r>
            <w:r>
              <w:rPr>
                <w:rFonts w:asciiTheme="minorHAnsi" w:hAnsiTheme="minorHAnsi" w:cstheme="minorHAnsi"/>
                <w:sz w:val="20"/>
              </w:rPr>
              <w:t>2</w:t>
            </w:r>
            <w:r w:rsidRPr="009C2ABE">
              <w:rPr>
                <w:rFonts w:asciiTheme="minorHAnsi" w:hAnsiTheme="minorHAnsi" w:cstheme="minorHAnsi"/>
                <w:sz w:val="20"/>
              </w:rPr>
              <w:t>.</w:t>
            </w:r>
          </w:p>
        </w:tc>
      </w:tr>
      <w:tr w:rsidR="009C2ABE" w:rsidRPr="00D07032" w14:paraId="3AC26AA0" w14:textId="77777777" w:rsidTr="00AF1710">
        <w:trPr>
          <w:trHeight w:val="693"/>
        </w:trPr>
        <w:tc>
          <w:tcPr>
            <w:tcW w:w="385" w:type="pct"/>
            <w:tcBorders>
              <w:top w:val="single" w:sz="4" w:space="0" w:color="auto"/>
              <w:left w:val="single" w:sz="4" w:space="0" w:color="auto"/>
              <w:bottom w:val="single" w:sz="4" w:space="0" w:color="auto"/>
              <w:right w:val="single" w:sz="4" w:space="0" w:color="auto"/>
            </w:tcBorders>
          </w:tcPr>
          <w:p w14:paraId="45B48640"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1.2</w:t>
            </w:r>
          </w:p>
        </w:tc>
        <w:tc>
          <w:tcPr>
            <w:tcW w:w="2918" w:type="pct"/>
            <w:tcBorders>
              <w:top w:val="single" w:sz="4" w:space="0" w:color="auto"/>
              <w:left w:val="single" w:sz="4" w:space="0" w:color="auto"/>
              <w:bottom w:val="single" w:sz="4" w:space="0" w:color="auto"/>
              <w:right w:val="single" w:sz="4" w:space="0" w:color="auto"/>
            </w:tcBorders>
            <w:vAlign w:val="center"/>
            <w:hideMark/>
          </w:tcPr>
          <w:p w14:paraId="398F2948"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Has internal training on the Public Spending Code been provided to relevant staff?</w:t>
            </w:r>
          </w:p>
        </w:tc>
        <w:tc>
          <w:tcPr>
            <w:tcW w:w="536" w:type="pct"/>
            <w:tcBorders>
              <w:top w:val="single" w:sz="4" w:space="0" w:color="auto"/>
              <w:left w:val="single" w:sz="4" w:space="0" w:color="auto"/>
              <w:bottom w:val="single" w:sz="4" w:space="0" w:color="auto"/>
              <w:right w:val="single" w:sz="4" w:space="0" w:color="auto"/>
            </w:tcBorders>
          </w:tcPr>
          <w:p w14:paraId="60A7BF85" w14:textId="77777777" w:rsidR="009C2ABE" w:rsidRPr="00F21B37" w:rsidRDefault="009C2ABE" w:rsidP="00560407">
            <w:pPr>
              <w:jc w:val="center"/>
              <w:rPr>
                <w:rFonts w:asciiTheme="minorHAnsi" w:hAnsiTheme="minorHAnsi" w:cstheme="minorHAnsi"/>
                <w:sz w:val="20"/>
              </w:rPr>
            </w:pPr>
          </w:p>
          <w:p w14:paraId="442F7570" w14:textId="1E6B4BAD"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161" w:type="pct"/>
            <w:tcBorders>
              <w:top w:val="single" w:sz="4" w:space="0" w:color="auto"/>
              <w:left w:val="single" w:sz="4" w:space="0" w:color="auto"/>
              <w:bottom w:val="single" w:sz="4" w:space="0" w:color="auto"/>
              <w:right w:val="single" w:sz="4" w:space="0" w:color="auto"/>
            </w:tcBorders>
          </w:tcPr>
          <w:p w14:paraId="6BB9320F" w14:textId="0E03433A"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PSC Training commenced during 202</w:t>
            </w:r>
            <w:r>
              <w:rPr>
                <w:rFonts w:asciiTheme="minorHAnsi" w:hAnsiTheme="minorHAnsi" w:cstheme="minorHAnsi"/>
                <w:sz w:val="20"/>
              </w:rPr>
              <w:t>2</w:t>
            </w:r>
            <w:r w:rsidRPr="009C2ABE">
              <w:rPr>
                <w:rFonts w:asciiTheme="minorHAnsi" w:hAnsiTheme="minorHAnsi" w:cstheme="minorHAnsi"/>
                <w:sz w:val="20"/>
              </w:rPr>
              <w:t>.</w:t>
            </w:r>
          </w:p>
        </w:tc>
      </w:tr>
      <w:tr w:rsidR="009C2ABE" w:rsidRPr="00D07032" w14:paraId="6CA1CE64" w14:textId="77777777" w:rsidTr="00AF1710">
        <w:tc>
          <w:tcPr>
            <w:tcW w:w="385" w:type="pct"/>
            <w:tcBorders>
              <w:top w:val="single" w:sz="4" w:space="0" w:color="auto"/>
              <w:left w:val="single" w:sz="4" w:space="0" w:color="auto"/>
              <w:bottom w:val="single" w:sz="4" w:space="0" w:color="auto"/>
              <w:right w:val="single" w:sz="4" w:space="0" w:color="auto"/>
            </w:tcBorders>
          </w:tcPr>
          <w:p w14:paraId="4F815BA8"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1.3</w:t>
            </w:r>
          </w:p>
        </w:tc>
        <w:tc>
          <w:tcPr>
            <w:tcW w:w="2918" w:type="pct"/>
            <w:tcBorders>
              <w:top w:val="single" w:sz="4" w:space="0" w:color="auto"/>
              <w:left w:val="single" w:sz="4" w:space="0" w:color="auto"/>
              <w:bottom w:val="single" w:sz="4" w:space="0" w:color="auto"/>
              <w:right w:val="single" w:sz="4" w:space="0" w:color="auto"/>
            </w:tcBorders>
            <w:vAlign w:val="center"/>
            <w:hideMark/>
          </w:tcPr>
          <w:p w14:paraId="30A62C9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Has the Public Spending Code been adapted for the type of project/programme that your organisation is responsible for, i.e., have adapted sectoral guidelines been developed?</w:t>
            </w:r>
          </w:p>
        </w:tc>
        <w:tc>
          <w:tcPr>
            <w:tcW w:w="536" w:type="pct"/>
            <w:tcBorders>
              <w:top w:val="single" w:sz="4" w:space="0" w:color="auto"/>
              <w:left w:val="single" w:sz="4" w:space="0" w:color="auto"/>
              <w:bottom w:val="single" w:sz="4" w:space="0" w:color="auto"/>
              <w:right w:val="single" w:sz="4" w:space="0" w:color="auto"/>
            </w:tcBorders>
          </w:tcPr>
          <w:p w14:paraId="450D7BD4" w14:textId="77777777" w:rsidR="009C2ABE" w:rsidRPr="00F21B37" w:rsidRDefault="009C2ABE" w:rsidP="00560407">
            <w:pPr>
              <w:jc w:val="center"/>
              <w:rPr>
                <w:rFonts w:asciiTheme="minorHAnsi" w:hAnsiTheme="minorHAnsi" w:cstheme="minorHAnsi"/>
                <w:sz w:val="20"/>
              </w:rPr>
            </w:pPr>
          </w:p>
          <w:p w14:paraId="7208D67F" w14:textId="31544B62"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161" w:type="pct"/>
            <w:tcBorders>
              <w:top w:val="single" w:sz="4" w:space="0" w:color="auto"/>
              <w:left w:val="single" w:sz="4" w:space="0" w:color="auto"/>
              <w:bottom w:val="single" w:sz="4" w:space="0" w:color="auto"/>
              <w:right w:val="single" w:sz="4" w:space="0" w:color="auto"/>
            </w:tcBorders>
          </w:tcPr>
          <w:p w14:paraId="5819B0D5" w14:textId="09DCC080"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Yes. Guidance document has been adapted for LA sector and is available on the intranet.</w:t>
            </w:r>
          </w:p>
        </w:tc>
      </w:tr>
      <w:tr w:rsidR="009C2ABE" w:rsidRPr="00D07032" w14:paraId="21064AD2" w14:textId="77777777" w:rsidTr="00AF1710">
        <w:tc>
          <w:tcPr>
            <w:tcW w:w="385" w:type="pct"/>
            <w:tcBorders>
              <w:top w:val="single" w:sz="4" w:space="0" w:color="auto"/>
              <w:left w:val="single" w:sz="4" w:space="0" w:color="auto"/>
              <w:bottom w:val="single" w:sz="4" w:space="0" w:color="auto"/>
              <w:right w:val="single" w:sz="4" w:space="0" w:color="auto"/>
            </w:tcBorders>
          </w:tcPr>
          <w:p w14:paraId="1677CB91"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1.4</w:t>
            </w:r>
          </w:p>
        </w:tc>
        <w:tc>
          <w:tcPr>
            <w:tcW w:w="2918" w:type="pct"/>
            <w:tcBorders>
              <w:top w:val="single" w:sz="4" w:space="0" w:color="auto"/>
              <w:left w:val="single" w:sz="4" w:space="0" w:color="auto"/>
              <w:bottom w:val="single" w:sz="4" w:space="0" w:color="auto"/>
              <w:right w:val="single" w:sz="4" w:space="0" w:color="auto"/>
            </w:tcBorders>
            <w:vAlign w:val="center"/>
            <w:hideMark/>
          </w:tcPr>
          <w:p w14:paraId="0CC92942"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Has the organisation in its role as Approving Authority satisfied itself that agencies that it funds comply with the Public Spending Code?</w:t>
            </w:r>
          </w:p>
        </w:tc>
        <w:tc>
          <w:tcPr>
            <w:tcW w:w="536" w:type="pct"/>
            <w:tcBorders>
              <w:top w:val="single" w:sz="4" w:space="0" w:color="auto"/>
              <w:left w:val="single" w:sz="4" w:space="0" w:color="auto"/>
              <w:bottom w:val="single" w:sz="4" w:space="0" w:color="auto"/>
              <w:right w:val="single" w:sz="4" w:space="0" w:color="auto"/>
            </w:tcBorders>
          </w:tcPr>
          <w:p w14:paraId="74D1B66E" w14:textId="77777777" w:rsidR="009C2ABE" w:rsidRPr="00F21B37" w:rsidRDefault="009C2ABE" w:rsidP="00560407">
            <w:pPr>
              <w:jc w:val="center"/>
              <w:rPr>
                <w:rFonts w:asciiTheme="minorHAnsi" w:hAnsiTheme="minorHAnsi" w:cstheme="minorHAnsi"/>
                <w:sz w:val="20"/>
              </w:rPr>
            </w:pPr>
          </w:p>
          <w:p w14:paraId="1C408991" w14:textId="2C508230"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161" w:type="pct"/>
            <w:tcBorders>
              <w:top w:val="single" w:sz="4" w:space="0" w:color="auto"/>
              <w:left w:val="single" w:sz="4" w:space="0" w:color="auto"/>
              <w:bottom w:val="single" w:sz="4" w:space="0" w:color="auto"/>
              <w:right w:val="single" w:sz="4" w:space="0" w:color="auto"/>
            </w:tcBorders>
          </w:tcPr>
          <w:p w14:paraId="72EA492D" w14:textId="279F3864"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Agreements in place with relevant agencies.</w:t>
            </w:r>
          </w:p>
        </w:tc>
      </w:tr>
      <w:tr w:rsidR="009C2ABE" w:rsidRPr="00D07032" w14:paraId="2F596477" w14:textId="77777777" w:rsidTr="00AF1710">
        <w:tc>
          <w:tcPr>
            <w:tcW w:w="385" w:type="pct"/>
            <w:tcBorders>
              <w:top w:val="single" w:sz="4" w:space="0" w:color="auto"/>
              <w:left w:val="single" w:sz="4" w:space="0" w:color="auto"/>
              <w:bottom w:val="single" w:sz="4" w:space="0" w:color="auto"/>
              <w:right w:val="single" w:sz="4" w:space="0" w:color="auto"/>
            </w:tcBorders>
          </w:tcPr>
          <w:p w14:paraId="09711D5B"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1.5</w:t>
            </w:r>
          </w:p>
        </w:tc>
        <w:tc>
          <w:tcPr>
            <w:tcW w:w="2918" w:type="pct"/>
            <w:tcBorders>
              <w:top w:val="single" w:sz="4" w:space="0" w:color="auto"/>
              <w:left w:val="single" w:sz="4" w:space="0" w:color="auto"/>
              <w:bottom w:val="single" w:sz="4" w:space="0" w:color="auto"/>
              <w:right w:val="single" w:sz="4" w:space="0" w:color="auto"/>
            </w:tcBorders>
            <w:vAlign w:val="center"/>
            <w:hideMark/>
          </w:tcPr>
          <w:p w14:paraId="537FCEF9"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Have recommendations from previous QA reports (incl. spot checks) been disseminated, where appropriate, within the organisation and to agencies?</w:t>
            </w:r>
          </w:p>
        </w:tc>
        <w:tc>
          <w:tcPr>
            <w:tcW w:w="536" w:type="pct"/>
            <w:tcBorders>
              <w:top w:val="single" w:sz="4" w:space="0" w:color="auto"/>
              <w:left w:val="single" w:sz="4" w:space="0" w:color="auto"/>
              <w:bottom w:val="single" w:sz="4" w:space="0" w:color="auto"/>
              <w:right w:val="single" w:sz="4" w:space="0" w:color="auto"/>
            </w:tcBorders>
          </w:tcPr>
          <w:p w14:paraId="22431CB6" w14:textId="77777777" w:rsidR="009C2ABE" w:rsidRPr="00F21B37" w:rsidRDefault="009C2ABE" w:rsidP="00560407">
            <w:pPr>
              <w:jc w:val="center"/>
              <w:rPr>
                <w:rFonts w:asciiTheme="minorHAnsi" w:hAnsiTheme="minorHAnsi" w:cstheme="minorHAnsi"/>
                <w:sz w:val="20"/>
              </w:rPr>
            </w:pPr>
          </w:p>
          <w:p w14:paraId="69341905" w14:textId="03B1376E"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161" w:type="pct"/>
            <w:tcBorders>
              <w:top w:val="single" w:sz="4" w:space="0" w:color="auto"/>
              <w:left w:val="single" w:sz="4" w:space="0" w:color="auto"/>
              <w:bottom w:val="single" w:sz="4" w:space="0" w:color="auto"/>
              <w:right w:val="single" w:sz="4" w:space="0" w:color="auto"/>
            </w:tcBorders>
          </w:tcPr>
          <w:p w14:paraId="0EB0CA9B" w14:textId="40A82B1C"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All Recommendations are distributed to Senior Management Team (SMT) and Audit Committee.</w:t>
            </w:r>
          </w:p>
        </w:tc>
      </w:tr>
      <w:tr w:rsidR="009C2ABE" w:rsidRPr="00D07032" w14:paraId="1B809044" w14:textId="77777777" w:rsidTr="00AF1710">
        <w:trPr>
          <w:trHeight w:val="811"/>
        </w:trPr>
        <w:tc>
          <w:tcPr>
            <w:tcW w:w="385" w:type="pct"/>
            <w:tcBorders>
              <w:top w:val="single" w:sz="4" w:space="0" w:color="auto"/>
              <w:left w:val="single" w:sz="4" w:space="0" w:color="auto"/>
              <w:bottom w:val="single" w:sz="4" w:space="0" w:color="auto"/>
              <w:right w:val="single" w:sz="4" w:space="0" w:color="auto"/>
            </w:tcBorders>
          </w:tcPr>
          <w:p w14:paraId="13700000"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1.6</w:t>
            </w:r>
          </w:p>
        </w:tc>
        <w:tc>
          <w:tcPr>
            <w:tcW w:w="2918" w:type="pct"/>
            <w:tcBorders>
              <w:top w:val="single" w:sz="4" w:space="0" w:color="auto"/>
              <w:left w:val="single" w:sz="4" w:space="0" w:color="auto"/>
              <w:bottom w:val="single" w:sz="4" w:space="0" w:color="auto"/>
              <w:right w:val="single" w:sz="4" w:space="0" w:color="auto"/>
            </w:tcBorders>
            <w:vAlign w:val="center"/>
            <w:hideMark/>
          </w:tcPr>
          <w:p w14:paraId="4ABCC08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Have recommendations from previous QA reports been acted upon?</w:t>
            </w:r>
          </w:p>
        </w:tc>
        <w:tc>
          <w:tcPr>
            <w:tcW w:w="536" w:type="pct"/>
            <w:tcBorders>
              <w:top w:val="single" w:sz="4" w:space="0" w:color="auto"/>
              <w:left w:val="single" w:sz="4" w:space="0" w:color="auto"/>
              <w:bottom w:val="single" w:sz="4" w:space="0" w:color="auto"/>
              <w:right w:val="single" w:sz="4" w:space="0" w:color="auto"/>
            </w:tcBorders>
          </w:tcPr>
          <w:p w14:paraId="0E8ABB33" w14:textId="77777777" w:rsidR="009C2ABE" w:rsidRPr="00F21B37" w:rsidRDefault="009C2ABE" w:rsidP="00560407">
            <w:pPr>
              <w:jc w:val="center"/>
              <w:rPr>
                <w:rFonts w:asciiTheme="minorHAnsi" w:hAnsiTheme="minorHAnsi" w:cstheme="minorHAnsi"/>
                <w:sz w:val="20"/>
              </w:rPr>
            </w:pPr>
          </w:p>
          <w:p w14:paraId="46324A7D" w14:textId="7B3C47D3"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161" w:type="pct"/>
            <w:tcBorders>
              <w:top w:val="single" w:sz="4" w:space="0" w:color="auto"/>
              <w:left w:val="single" w:sz="4" w:space="0" w:color="auto"/>
              <w:bottom w:val="single" w:sz="4" w:space="0" w:color="auto"/>
              <w:right w:val="single" w:sz="4" w:space="0" w:color="auto"/>
            </w:tcBorders>
          </w:tcPr>
          <w:p w14:paraId="126082A4" w14:textId="529C619D"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SMT progress reports on all audit recommendations.</w:t>
            </w:r>
          </w:p>
        </w:tc>
      </w:tr>
      <w:tr w:rsidR="009C2ABE" w:rsidRPr="00D07032" w14:paraId="60B4C4F9" w14:textId="77777777" w:rsidTr="00AF1710">
        <w:tc>
          <w:tcPr>
            <w:tcW w:w="385" w:type="pct"/>
            <w:tcBorders>
              <w:top w:val="single" w:sz="4" w:space="0" w:color="auto"/>
              <w:left w:val="single" w:sz="4" w:space="0" w:color="auto"/>
              <w:bottom w:val="single" w:sz="4" w:space="0" w:color="auto"/>
              <w:right w:val="single" w:sz="4" w:space="0" w:color="auto"/>
            </w:tcBorders>
          </w:tcPr>
          <w:p w14:paraId="2E2B4D82"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1.7</w:t>
            </w:r>
          </w:p>
        </w:tc>
        <w:tc>
          <w:tcPr>
            <w:tcW w:w="2918" w:type="pct"/>
            <w:tcBorders>
              <w:top w:val="single" w:sz="4" w:space="0" w:color="auto"/>
              <w:left w:val="single" w:sz="4" w:space="0" w:color="auto"/>
              <w:bottom w:val="single" w:sz="4" w:space="0" w:color="auto"/>
              <w:right w:val="single" w:sz="4" w:space="0" w:color="auto"/>
            </w:tcBorders>
            <w:vAlign w:val="center"/>
            <w:hideMark/>
          </w:tcPr>
          <w:p w14:paraId="4E492EAC"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 xml:space="preserve">Has an annual Public Spending Code QA report been submitted to and certified by the Chief Executive Officer, submitted to </w:t>
            </w:r>
            <w:proofErr w:type="gramStart"/>
            <w:r w:rsidRPr="00D07032">
              <w:rPr>
                <w:rFonts w:ascii="Calibri" w:eastAsia="Calibri" w:hAnsi="Calibri" w:cs="Arial"/>
                <w:sz w:val="20"/>
                <w:lang w:val="en-IE" w:eastAsia="en-US"/>
              </w:rPr>
              <w:t>NOAC</w:t>
            </w:r>
            <w:proofErr w:type="gramEnd"/>
            <w:r w:rsidRPr="00D07032">
              <w:rPr>
                <w:rFonts w:ascii="Calibri" w:eastAsia="Calibri" w:hAnsi="Calibri" w:cs="Arial"/>
                <w:sz w:val="20"/>
                <w:lang w:val="en-IE" w:eastAsia="en-US"/>
              </w:rPr>
              <w:t xml:space="preserve"> and published on the Local Authority’s website?</w:t>
            </w:r>
          </w:p>
        </w:tc>
        <w:tc>
          <w:tcPr>
            <w:tcW w:w="536" w:type="pct"/>
            <w:tcBorders>
              <w:top w:val="single" w:sz="4" w:space="0" w:color="auto"/>
              <w:left w:val="single" w:sz="4" w:space="0" w:color="auto"/>
              <w:bottom w:val="single" w:sz="4" w:space="0" w:color="auto"/>
              <w:right w:val="single" w:sz="4" w:space="0" w:color="auto"/>
            </w:tcBorders>
          </w:tcPr>
          <w:p w14:paraId="54599688" w14:textId="77777777" w:rsidR="009C2ABE" w:rsidRPr="00F21B37" w:rsidRDefault="009C2ABE" w:rsidP="00560407">
            <w:pPr>
              <w:jc w:val="center"/>
              <w:rPr>
                <w:rFonts w:asciiTheme="minorHAnsi" w:hAnsiTheme="minorHAnsi" w:cstheme="minorHAnsi"/>
                <w:sz w:val="20"/>
              </w:rPr>
            </w:pPr>
          </w:p>
          <w:p w14:paraId="68904A08" w14:textId="0BF0B8B9"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161" w:type="pct"/>
            <w:tcBorders>
              <w:top w:val="single" w:sz="4" w:space="0" w:color="auto"/>
              <w:left w:val="single" w:sz="4" w:space="0" w:color="auto"/>
              <w:bottom w:val="single" w:sz="4" w:space="0" w:color="auto"/>
              <w:right w:val="single" w:sz="4" w:space="0" w:color="auto"/>
            </w:tcBorders>
          </w:tcPr>
          <w:p w14:paraId="0275150A" w14:textId="2CEB5877"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PSC QA Report has been signed by CE, issued to NOAC; and published on the City Council website.</w:t>
            </w:r>
          </w:p>
        </w:tc>
      </w:tr>
      <w:tr w:rsidR="009C2ABE" w:rsidRPr="00D07032" w14:paraId="4B644613" w14:textId="77777777" w:rsidTr="00AF1710">
        <w:tc>
          <w:tcPr>
            <w:tcW w:w="385" w:type="pct"/>
            <w:tcBorders>
              <w:top w:val="single" w:sz="4" w:space="0" w:color="auto"/>
              <w:left w:val="single" w:sz="4" w:space="0" w:color="auto"/>
              <w:bottom w:val="single" w:sz="4" w:space="0" w:color="auto"/>
              <w:right w:val="single" w:sz="4" w:space="0" w:color="auto"/>
            </w:tcBorders>
          </w:tcPr>
          <w:p w14:paraId="11F561F9"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1.8</w:t>
            </w:r>
          </w:p>
        </w:tc>
        <w:tc>
          <w:tcPr>
            <w:tcW w:w="2918" w:type="pct"/>
            <w:tcBorders>
              <w:top w:val="single" w:sz="4" w:space="0" w:color="auto"/>
              <w:left w:val="single" w:sz="4" w:space="0" w:color="auto"/>
              <w:bottom w:val="single" w:sz="4" w:space="0" w:color="auto"/>
              <w:right w:val="single" w:sz="4" w:space="0" w:color="auto"/>
            </w:tcBorders>
            <w:vAlign w:val="center"/>
            <w:hideMark/>
          </w:tcPr>
          <w:p w14:paraId="0DBC4BF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the required sample of projects/programmes subjected to in-depth checking as per step 4 of the QAP?</w:t>
            </w:r>
          </w:p>
        </w:tc>
        <w:tc>
          <w:tcPr>
            <w:tcW w:w="536" w:type="pct"/>
            <w:tcBorders>
              <w:top w:val="single" w:sz="4" w:space="0" w:color="auto"/>
              <w:left w:val="single" w:sz="4" w:space="0" w:color="auto"/>
              <w:bottom w:val="single" w:sz="4" w:space="0" w:color="auto"/>
              <w:right w:val="single" w:sz="4" w:space="0" w:color="auto"/>
            </w:tcBorders>
          </w:tcPr>
          <w:p w14:paraId="5BAD9D1A" w14:textId="77777777" w:rsidR="009C2ABE" w:rsidRPr="00F21B37" w:rsidRDefault="009C2ABE" w:rsidP="00560407">
            <w:pPr>
              <w:jc w:val="center"/>
              <w:rPr>
                <w:rFonts w:asciiTheme="minorHAnsi" w:hAnsiTheme="minorHAnsi" w:cstheme="minorHAnsi"/>
                <w:sz w:val="20"/>
              </w:rPr>
            </w:pPr>
          </w:p>
          <w:p w14:paraId="0BBA6F7D" w14:textId="2E70E06A"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161" w:type="pct"/>
            <w:tcBorders>
              <w:top w:val="single" w:sz="4" w:space="0" w:color="auto"/>
              <w:left w:val="single" w:sz="4" w:space="0" w:color="auto"/>
              <w:bottom w:val="single" w:sz="4" w:space="0" w:color="auto"/>
              <w:right w:val="single" w:sz="4" w:space="0" w:color="auto"/>
            </w:tcBorders>
          </w:tcPr>
          <w:p w14:paraId="0A53C975" w14:textId="3B5E008D"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Samples of both Revenue and Capital spending have been reviewed.</w:t>
            </w:r>
          </w:p>
        </w:tc>
      </w:tr>
      <w:tr w:rsidR="009C2ABE" w:rsidRPr="00D07032" w14:paraId="75535B68" w14:textId="77777777" w:rsidTr="00AF1710">
        <w:tc>
          <w:tcPr>
            <w:tcW w:w="385" w:type="pct"/>
            <w:tcBorders>
              <w:top w:val="single" w:sz="4" w:space="0" w:color="auto"/>
              <w:left w:val="single" w:sz="4" w:space="0" w:color="auto"/>
              <w:bottom w:val="single" w:sz="4" w:space="0" w:color="auto"/>
              <w:right w:val="single" w:sz="4" w:space="0" w:color="auto"/>
            </w:tcBorders>
          </w:tcPr>
          <w:p w14:paraId="60E1260F"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1.9</w:t>
            </w:r>
          </w:p>
        </w:tc>
        <w:tc>
          <w:tcPr>
            <w:tcW w:w="2918" w:type="pct"/>
            <w:tcBorders>
              <w:top w:val="single" w:sz="4" w:space="0" w:color="auto"/>
              <w:left w:val="single" w:sz="4" w:space="0" w:color="auto"/>
              <w:bottom w:val="single" w:sz="4" w:space="0" w:color="auto"/>
              <w:right w:val="single" w:sz="4" w:space="0" w:color="auto"/>
            </w:tcBorders>
            <w:vAlign w:val="center"/>
            <w:hideMark/>
          </w:tcPr>
          <w:p w14:paraId="387E0184"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Is there a process in place to plan for ex post evaluations?</w:t>
            </w:r>
          </w:p>
          <w:p w14:paraId="550CE64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sz w:val="18"/>
                <w:szCs w:val="18"/>
                <w:lang w:val="en-IE" w:eastAsia="en-US"/>
              </w:rPr>
              <w:t>Ex-post evaluation is conducted after a certain period has passed since the completion of a target project with emphasis on the effectiveness and sustainability of the project.</w:t>
            </w:r>
          </w:p>
        </w:tc>
        <w:tc>
          <w:tcPr>
            <w:tcW w:w="536" w:type="pct"/>
            <w:tcBorders>
              <w:top w:val="single" w:sz="4" w:space="0" w:color="auto"/>
              <w:left w:val="single" w:sz="4" w:space="0" w:color="auto"/>
              <w:bottom w:val="single" w:sz="4" w:space="0" w:color="auto"/>
              <w:right w:val="single" w:sz="4" w:space="0" w:color="auto"/>
            </w:tcBorders>
          </w:tcPr>
          <w:p w14:paraId="2047E3FC" w14:textId="77777777" w:rsidR="009C2ABE" w:rsidRPr="00F21B37" w:rsidRDefault="009C2ABE" w:rsidP="00560407">
            <w:pPr>
              <w:jc w:val="center"/>
              <w:rPr>
                <w:rFonts w:asciiTheme="minorHAnsi" w:hAnsiTheme="minorHAnsi" w:cstheme="minorHAnsi"/>
                <w:sz w:val="20"/>
              </w:rPr>
            </w:pPr>
          </w:p>
          <w:p w14:paraId="6AEB8DB5" w14:textId="01020E52"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161" w:type="pct"/>
            <w:tcBorders>
              <w:top w:val="single" w:sz="4" w:space="0" w:color="auto"/>
              <w:left w:val="single" w:sz="4" w:space="0" w:color="auto"/>
              <w:bottom w:val="single" w:sz="4" w:space="0" w:color="auto"/>
              <w:right w:val="single" w:sz="4" w:space="0" w:color="auto"/>
            </w:tcBorders>
          </w:tcPr>
          <w:p w14:paraId="69A83703" w14:textId="46EC161D"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 xml:space="preserve">The Purchasing and Procurement rules adopted by Galway City Council include the mandatory requirement. </w:t>
            </w:r>
          </w:p>
        </w:tc>
      </w:tr>
      <w:tr w:rsidR="009C2ABE" w:rsidRPr="00D07032" w14:paraId="0480E880" w14:textId="77777777" w:rsidTr="00AF1710">
        <w:tc>
          <w:tcPr>
            <w:tcW w:w="385" w:type="pct"/>
            <w:tcBorders>
              <w:top w:val="single" w:sz="4" w:space="0" w:color="auto"/>
              <w:left w:val="single" w:sz="4" w:space="0" w:color="auto"/>
              <w:bottom w:val="single" w:sz="4" w:space="0" w:color="auto"/>
              <w:right w:val="single" w:sz="4" w:space="0" w:color="auto"/>
            </w:tcBorders>
          </w:tcPr>
          <w:p w14:paraId="19E6A583"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1.10</w:t>
            </w:r>
          </w:p>
        </w:tc>
        <w:tc>
          <w:tcPr>
            <w:tcW w:w="2918" w:type="pct"/>
            <w:tcBorders>
              <w:top w:val="single" w:sz="4" w:space="0" w:color="auto"/>
              <w:left w:val="single" w:sz="4" w:space="0" w:color="auto"/>
              <w:bottom w:val="single" w:sz="4" w:space="0" w:color="auto"/>
              <w:right w:val="single" w:sz="4" w:space="0" w:color="auto"/>
            </w:tcBorders>
            <w:vAlign w:val="center"/>
            <w:hideMark/>
          </w:tcPr>
          <w:p w14:paraId="40684877"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How many formal evaluations were completed in the year under review? Have they been published in a timely manner?</w:t>
            </w:r>
          </w:p>
        </w:tc>
        <w:tc>
          <w:tcPr>
            <w:tcW w:w="536" w:type="pct"/>
            <w:tcBorders>
              <w:top w:val="single" w:sz="4" w:space="0" w:color="auto"/>
              <w:left w:val="single" w:sz="4" w:space="0" w:color="auto"/>
              <w:bottom w:val="single" w:sz="4" w:space="0" w:color="auto"/>
              <w:right w:val="single" w:sz="4" w:space="0" w:color="auto"/>
            </w:tcBorders>
          </w:tcPr>
          <w:p w14:paraId="6A192476" w14:textId="77777777" w:rsidR="009C2ABE" w:rsidRPr="00F21B37" w:rsidRDefault="009C2ABE" w:rsidP="00560407">
            <w:pPr>
              <w:jc w:val="center"/>
              <w:rPr>
                <w:rFonts w:asciiTheme="minorHAnsi" w:hAnsiTheme="minorHAnsi" w:cstheme="minorHAnsi"/>
                <w:sz w:val="20"/>
              </w:rPr>
            </w:pPr>
          </w:p>
          <w:p w14:paraId="7BB0C7B5" w14:textId="6198A492" w:rsidR="009C2ABE" w:rsidRPr="00F21B37" w:rsidRDefault="009C2ABE" w:rsidP="00560407">
            <w:pPr>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0</w:t>
            </w:r>
          </w:p>
        </w:tc>
        <w:tc>
          <w:tcPr>
            <w:tcW w:w="1161" w:type="pct"/>
            <w:tcBorders>
              <w:top w:val="single" w:sz="4" w:space="0" w:color="auto"/>
              <w:left w:val="single" w:sz="4" w:space="0" w:color="auto"/>
              <w:bottom w:val="single" w:sz="4" w:space="0" w:color="auto"/>
              <w:right w:val="single" w:sz="4" w:space="0" w:color="auto"/>
            </w:tcBorders>
          </w:tcPr>
          <w:p w14:paraId="47EA59B9" w14:textId="013DA794"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No Post-Project Reviews were delivered during 202</w:t>
            </w:r>
            <w:r w:rsidR="00561CD6">
              <w:rPr>
                <w:rFonts w:asciiTheme="minorHAnsi" w:hAnsiTheme="minorHAnsi" w:cstheme="minorHAnsi"/>
                <w:sz w:val="20"/>
              </w:rPr>
              <w:t>2</w:t>
            </w:r>
            <w:r w:rsidRPr="009C2ABE">
              <w:rPr>
                <w:rFonts w:asciiTheme="minorHAnsi" w:hAnsiTheme="minorHAnsi" w:cstheme="minorHAnsi"/>
                <w:sz w:val="20"/>
              </w:rPr>
              <w:t>.</w:t>
            </w:r>
          </w:p>
        </w:tc>
      </w:tr>
      <w:tr w:rsidR="009C2ABE" w:rsidRPr="00D07032" w14:paraId="29AEE94C" w14:textId="77777777" w:rsidTr="00AF1710">
        <w:tc>
          <w:tcPr>
            <w:tcW w:w="385" w:type="pct"/>
            <w:tcBorders>
              <w:top w:val="single" w:sz="4" w:space="0" w:color="auto"/>
              <w:left w:val="single" w:sz="4" w:space="0" w:color="auto"/>
              <w:bottom w:val="single" w:sz="4" w:space="0" w:color="auto"/>
              <w:right w:val="single" w:sz="4" w:space="0" w:color="auto"/>
            </w:tcBorders>
          </w:tcPr>
          <w:p w14:paraId="60642541"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1.11</w:t>
            </w:r>
          </w:p>
        </w:tc>
        <w:tc>
          <w:tcPr>
            <w:tcW w:w="2918" w:type="pct"/>
            <w:tcBorders>
              <w:top w:val="single" w:sz="4" w:space="0" w:color="auto"/>
              <w:left w:val="single" w:sz="4" w:space="0" w:color="auto"/>
              <w:bottom w:val="single" w:sz="4" w:space="0" w:color="auto"/>
              <w:right w:val="single" w:sz="4" w:space="0" w:color="auto"/>
            </w:tcBorders>
            <w:vAlign w:val="center"/>
            <w:hideMark/>
          </w:tcPr>
          <w:p w14:paraId="7CF615A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Is there a process in place to follow up on the recommendations of previous evaluations?</w:t>
            </w:r>
          </w:p>
        </w:tc>
        <w:tc>
          <w:tcPr>
            <w:tcW w:w="536" w:type="pct"/>
            <w:tcBorders>
              <w:top w:val="single" w:sz="4" w:space="0" w:color="auto"/>
              <w:left w:val="single" w:sz="4" w:space="0" w:color="auto"/>
              <w:bottom w:val="single" w:sz="4" w:space="0" w:color="auto"/>
              <w:right w:val="single" w:sz="4" w:space="0" w:color="auto"/>
            </w:tcBorders>
          </w:tcPr>
          <w:p w14:paraId="5145A682" w14:textId="77777777" w:rsidR="009C2ABE" w:rsidRPr="00F21B37" w:rsidRDefault="009C2ABE" w:rsidP="00560407">
            <w:pPr>
              <w:jc w:val="center"/>
              <w:rPr>
                <w:rFonts w:asciiTheme="minorHAnsi" w:hAnsiTheme="minorHAnsi" w:cstheme="minorHAnsi"/>
                <w:sz w:val="20"/>
              </w:rPr>
            </w:pPr>
          </w:p>
          <w:p w14:paraId="07A9050E" w14:textId="7811986C"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161" w:type="pct"/>
            <w:tcBorders>
              <w:top w:val="single" w:sz="4" w:space="0" w:color="auto"/>
              <w:left w:val="single" w:sz="4" w:space="0" w:color="auto"/>
              <w:bottom w:val="single" w:sz="4" w:space="0" w:color="auto"/>
              <w:right w:val="single" w:sz="4" w:space="0" w:color="auto"/>
            </w:tcBorders>
          </w:tcPr>
          <w:p w14:paraId="7A33A0DB" w14:textId="56116736"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SMT progress reports on all recommendations.</w:t>
            </w:r>
          </w:p>
        </w:tc>
      </w:tr>
      <w:tr w:rsidR="009C2ABE" w:rsidRPr="00D07032" w14:paraId="5B8520D7" w14:textId="77777777" w:rsidTr="00AF1710">
        <w:tc>
          <w:tcPr>
            <w:tcW w:w="385" w:type="pct"/>
            <w:tcBorders>
              <w:top w:val="single" w:sz="4" w:space="0" w:color="auto"/>
              <w:left w:val="single" w:sz="4" w:space="0" w:color="auto"/>
              <w:bottom w:val="single" w:sz="4" w:space="0" w:color="auto"/>
              <w:right w:val="single" w:sz="4" w:space="0" w:color="auto"/>
            </w:tcBorders>
          </w:tcPr>
          <w:p w14:paraId="3638C647" w14:textId="77777777" w:rsidR="009C2ABE" w:rsidRPr="00D07032" w:rsidRDefault="009C2ABE" w:rsidP="00560407">
            <w:pPr>
              <w:jc w:val="both"/>
              <w:rPr>
                <w:rFonts w:ascii="Calibri" w:eastAsia="Calibri" w:hAnsi="Calibri" w:cs="Arial"/>
                <w:sz w:val="20"/>
                <w:lang w:val="en-IE" w:eastAsia="en-US"/>
              </w:rPr>
            </w:pPr>
            <w:r w:rsidRPr="00D07032">
              <w:rPr>
                <w:rFonts w:ascii="Calibri" w:eastAsia="Calibri" w:hAnsi="Calibri" w:cs="Arial"/>
                <w:sz w:val="20"/>
                <w:lang w:val="en-IE" w:eastAsia="en-US"/>
              </w:rPr>
              <w:t>Q 1.12</w:t>
            </w:r>
          </w:p>
        </w:tc>
        <w:tc>
          <w:tcPr>
            <w:tcW w:w="2918" w:type="pct"/>
            <w:tcBorders>
              <w:top w:val="single" w:sz="4" w:space="0" w:color="auto"/>
              <w:left w:val="single" w:sz="4" w:space="0" w:color="auto"/>
              <w:bottom w:val="single" w:sz="4" w:space="0" w:color="auto"/>
              <w:right w:val="single" w:sz="4" w:space="0" w:color="auto"/>
            </w:tcBorders>
            <w:vAlign w:val="center"/>
            <w:hideMark/>
          </w:tcPr>
          <w:p w14:paraId="3B1B5814"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How have the recommendations of reviews and ex post evaluations informed resource allocation decisions?</w:t>
            </w:r>
          </w:p>
        </w:tc>
        <w:tc>
          <w:tcPr>
            <w:tcW w:w="536" w:type="pct"/>
            <w:tcBorders>
              <w:top w:val="single" w:sz="4" w:space="0" w:color="auto"/>
              <w:left w:val="single" w:sz="4" w:space="0" w:color="auto"/>
              <w:bottom w:val="single" w:sz="4" w:space="0" w:color="auto"/>
              <w:right w:val="single" w:sz="4" w:space="0" w:color="auto"/>
            </w:tcBorders>
          </w:tcPr>
          <w:p w14:paraId="74B165BF" w14:textId="77777777" w:rsidR="009C2ABE" w:rsidRPr="00F21B37" w:rsidRDefault="009C2ABE" w:rsidP="00560407">
            <w:pPr>
              <w:jc w:val="center"/>
              <w:rPr>
                <w:rFonts w:asciiTheme="minorHAnsi" w:hAnsiTheme="minorHAnsi" w:cstheme="minorHAnsi"/>
                <w:sz w:val="20"/>
              </w:rPr>
            </w:pPr>
          </w:p>
          <w:p w14:paraId="230EB948" w14:textId="54993623"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161" w:type="pct"/>
            <w:tcBorders>
              <w:top w:val="single" w:sz="4" w:space="0" w:color="auto"/>
              <w:left w:val="single" w:sz="4" w:space="0" w:color="auto"/>
              <w:bottom w:val="single" w:sz="4" w:space="0" w:color="auto"/>
              <w:right w:val="single" w:sz="4" w:space="0" w:color="auto"/>
            </w:tcBorders>
          </w:tcPr>
          <w:p w14:paraId="06E6B39C" w14:textId="14BED055"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Decisions are based in part on SMT progress reports on all audit recommendations.</w:t>
            </w:r>
          </w:p>
        </w:tc>
      </w:tr>
    </w:tbl>
    <w:p w14:paraId="05979218" w14:textId="77777777" w:rsidR="009C2ABE" w:rsidRDefault="009C2ABE" w:rsidP="00D07032">
      <w:pPr>
        <w:rPr>
          <w:rFonts w:ascii="Calibri" w:hAnsi="Calibri"/>
          <w:b/>
          <w:sz w:val="22"/>
          <w:szCs w:val="22"/>
          <w:lang w:val="en-US" w:eastAsia="en-US"/>
        </w:rPr>
      </w:pPr>
    </w:p>
    <w:p w14:paraId="6EB5CDB1" w14:textId="77777777" w:rsidR="00F36EE3" w:rsidRDefault="00F36EE3" w:rsidP="00D07032">
      <w:pPr>
        <w:rPr>
          <w:rFonts w:ascii="Calibri" w:hAnsi="Calibri"/>
          <w:b/>
          <w:sz w:val="22"/>
          <w:szCs w:val="22"/>
          <w:lang w:val="en-US" w:eastAsia="en-US"/>
        </w:rPr>
      </w:pPr>
    </w:p>
    <w:p w14:paraId="14EB2424" w14:textId="77777777" w:rsidR="009C2ABE" w:rsidRDefault="009C2ABE" w:rsidP="00D07032">
      <w:pPr>
        <w:rPr>
          <w:rFonts w:ascii="Calibri" w:hAnsi="Calibri"/>
          <w:b/>
          <w:sz w:val="22"/>
          <w:szCs w:val="22"/>
          <w:lang w:val="en-US" w:eastAsia="en-US"/>
        </w:rPr>
      </w:pPr>
    </w:p>
    <w:p w14:paraId="1D49C8A6" w14:textId="22CC5BD1" w:rsidR="00D07032" w:rsidRPr="00D07032" w:rsidRDefault="00D07032" w:rsidP="00D07032">
      <w:pPr>
        <w:rPr>
          <w:rFonts w:ascii="Calibri" w:hAnsi="Calibri"/>
          <w:b/>
          <w:sz w:val="22"/>
          <w:szCs w:val="22"/>
          <w:lang w:val="en-US" w:eastAsia="en-US"/>
        </w:rPr>
      </w:pPr>
      <w:r w:rsidRPr="00D07032">
        <w:rPr>
          <w:rFonts w:ascii="Calibri" w:hAnsi="Calibri"/>
          <w:b/>
          <w:sz w:val="22"/>
          <w:szCs w:val="22"/>
          <w:lang w:val="en-US" w:eastAsia="en-US"/>
        </w:rPr>
        <w:lastRenderedPageBreak/>
        <w:t>Checklist 2 – To be completed in respect of capital projects/</w:t>
      </w:r>
      <w:proofErr w:type="spellStart"/>
      <w:r w:rsidRPr="00D07032">
        <w:rPr>
          <w:rFonts w:ascii="Calibri" w:hAnsi="Calibri"/>
          <w:b/>
          <w:sz w:val="22"/>
          <w:szCs w:val="22"/>
          <w:lang w:val="en-US" w:eastAsia="en-US"/>
        </w:rPr>
        <w:t>programmes</w:t>
      </w:r>
      <w:proofErr w:type="spellEnd"/>
      <w:r w:rsidRPr="00D07032">
        <w:rPr>
          <w:rFonts w:ascii="Calibri" w:hAnsi="Calibri"/>
          <w:b/>
          <w:sz w:val="22"/>
          <w:szCs w:val="22"/>
          <w:lang w:val="en-US" w:eastAsia="en-US"/>
        </w:rPr>
        <w:t xml:space="preserve"> &amp; capital grant schemes that were under consideration in the past year.</w:t>
      </w:r>
    </w:p>
    <w:p w14:paraId="32A35B67" w14:textId="77777777" w:rsidR="00D07032" w:rsidRPr="00D07032" w:rsidRDefault="00D07032" w:rsidP="00D07032">
      <w:pPr>
        <w:rPr>
          <w:rFonts w:ascii="Calibri" w:hAnsi="Calibri"/>
          <w:b/>
          <w:sz w:val="12"/>
          <w:szCs w:val="12"/>
          <w:lang w:val="en-US" w:eastAsia="en-US"/>
        </w:rPr>
      </w:pPr>
    </w:p>
    <w:tbl>
      <w:tblPr>
        <w:tblW w:w="6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6267"/>
        <w:gridCol w:w="1020"/>
        <w:gridCol w:w="2088"/>
      </w:tblGrid>
      <w:tr w:rsidR="00D07032" w:rsidRPr="00D07032" w14:paraId="76E44440" w14:textId="77777777" w:rsidTr="009C2ABE">
        <w:trPr>
          <w:cantSplit/>
          <w:trHeight w:val="1004"/>
          <w:jc w:val="center"/>
        </w:trPr>
        <w:tc>
          <w:tcPr>
            <w:tcW w:w="348" w:type="pct"/>
            <w:tcBorders>
              <w:top w:val="single" w:sz="4" w:space="0" w:color="auto"/>
              <w:left w:val="single" w:sz="4" w:space="0" w:color="auto"/>
              <w:bottom w:val="single" w:sz="4" w:space="0" w:color="auto"/>
              <w:right w:val="single" w:sz="4" w:space="0" w:color="auto"/>
            </w:tcBorders>
            <w:shd w:val="clear" w:color="auto" w:fill="E6E6E6"/>
          </w:tcPr>
          <w:p w14:paraId="3FF642C1" w14:textId="77777777" w:rsidR="00D07032" w:rsidRPr="00D07032" w:rsidRDefault="00D07032" w:rsidP="00D07032">
            <w:pPr>
              <w:spacing w:after="40"/>
              <w:rPr>
                <w:rFonts w:ascii="Calibri" w:eastAsia="Calibri" w:hAnsi="Calibri" w:cs="Arial"/>
                <w:b/>
                <w:sz w:val="20"/>
                <w:lang w:val="en-IE" w:eastAsia="en-US"/>
              </w:rPr>
            </w:pPr>
          </w:p>
        </w:tc>
        <w:tc>
          <w:tcPr>
            <w:tcW w:w="3109" w:type="pct"/>
            <w:tcBorders>
              <w:top w:val="single" w:sz="4" w:space="0" w:color="auto"/>
              <w:left w:val="single" w:sz="4" w:space="0" w:color="auto"/>
              <w:bottom w:val="single" w:sz="4" w:space="0" w:color="auto"/>
              <w:right w:val="single" w:sz="4" w:space="0" w:color="auto"/>
            </w:tcBorders>
            <w:shd w:val="clear" w:color="auto" w:fill="E6E6E6"/>
          </w:tcPr>
          <w:p w14:paraId="656BB2C3" w14:textId="77777777" w:rsidR="00D07032" w:rsidRPr="00D07032" w:rsidRDefault="00D07032" w:rsidP="00D07032">
            <w:pPr>
              <w:spacing w:after="40"/>
              <w:rPr>
                <w:rFonts w:ascii="Calibri" w:eastAsia="Calibri" w:hAnsi="Calibri" w:cs="Arial"/>
                <w:b/>
                <w:sz w:val="20"/>
                <w:lang w:val="en-IE" w:eastAsia="en-US"/>
              </w:rPr>
            </w:pPr>
          </w:p>
          <w:p w14:paraId="6FB5DC12" w14:textId="77777777" w:rsidR="00D07032" w:rsidRPr="00D07032" w:rsidRDefault="00D07032" w:rsidP="00D07032">
            <w:pPr>
              <w:spacing w:after="40"/>
              <w:rPr>
                <w:rFonts w:ascii="Calibri" w:eastAsia="Calibri" w:hAnsi="Calibri" w:cs="Arial"/>
                <w:b/>
                <w:sz w:val="20"/>
                <w:lang w:val="en-IE" w:eastAsia="en-US"/>
              </w:rPr>
            </w:pPr>
            <w:r w:rsidRPr="00D07032">
              <w:rPr>
                <w:rFonts w:ascii="Calibri" w:eastAsia="Calibri" w:hAnsi="Calibri" w:cs="Arial"/>
                <w:b/>
                <w:sz w:val="20"/>
                <w:lang w:val="en-IE" w:eastAsia="en-US"/>
              </w:rPr>
              <w:t>Capital Expenditure being Considered – Appraisal and Approval</w:t>
            </w:r>
          </w:p>
        </w:tc>
        <w:tc>
          <w:tcPr>
            <w:tcW w:w="506"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2EC89AB2" w14:textId="77777777" w:rsidR="00D07032" w:rsidRPr="00D07032" w:rsidRDefault="00D07032" w:rsidP="00D07032">
            <w:pPr>
              <w:rPr>
                <w:rFonts w:ascii="Calibri" w:hAnsi="Calibri"/>
                <w:b/>
                <w:sz w:val="20"/>
                <w:lang w:val="en-US" w:eastAsia="en-US"/>
              </w:rPr>
            </w:pPr>
            <w:r w:rsidRPr="00D07032">
              <w:rPr>
                <w:rFonts w:ascii="Calibri" w:hAnsi="Calibri"/>
                <w:b/>
                <w:sz w:val="20"/>
                <w:lang w:val="en-US" w:eastAsia="en-US"/>
              </w:rPr>
              <w:t>Self-Assessed Compliance Rating: 1 - 3</w:t>
            </w:r>
          </w:p>
        </w:tc>
        <w:tc>
          <w:tcPr>
            <w:tcW w:w="1036" w:type="pct"/>
            <w:tcBorders>
              <w:top w:val="single" w:sz="4" w:space="0" w:color="auto"/>
              <w:left w:val="single" w:sz="4" w:space="0" w:color="auto"/>
              <w:bottom w:val="single" w:sz="4" w:space="0" w:color="auto"/>
              <w:right w:val="single" w:sz="4" w:space="0" w:color="auto"/>
            </w:tcBorders>
            <w:shd w:val="clear" w:color="auto" w:fill="E6E6E6"/>
            <w:hideMark/>
          </w:tcPr>
          <w:p w14:paraId="60E377C1" w14:textId="77777777" w:rsidR="00D07032" w:rsidRPr="00D07032" w:rsidRDefault="00D07032" w:rsidP="00D07032">
            <w:pPr>
              <w:spacing w:after="40"/>
              <w:jc w:val="both"/>
              <w:rPr>
                <w:rFonts w:ascii="Calibri" w:eastAsia="Calibri" w:hAnsi="Calibri" w:cs="Arial"/>
                <w:b/>
                <w:sz w:val="20"/>
                <w:lang w:val="en-IE" w:eastAsia="en-US"/>
              </w:rPr>
            </w:pPr>
          </w:p>
          <w:p w14:paraId="1175FFD5" w14:textId="77777777" w:rsidR="00D07032" w:rsidRPr="00D07032" w:rsidRDefault="00D07032" w:rsidP="00D07032">
            <w:pPr>
              <w:spacing w:after="40"/>
              <w:jc w:val="center"/>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9C2ABE" w:rsidRPr="00D07032" w14:paraId="0044BE3E" w14:textId="77777777" w:rsidTr="009C2ABE">
        <w:trPr>
          <w:trHeight w:val="408"/>
          <w:jc w:val="center"/>
        </w:trPr>
        <w:tc>
          <w:tcPr>
            <w:tcW w:w="348" w:type="pct"/>
            <w:tcBorders>
              <w:top w:val="single" w:sz="4" w:space="0" w:color="auto"/>
              <w:left w:val="single" w:sz="4" w:space="0" w:color="auto"/>
              <w:bottom w:val="single" w:sz="4" w:space="0" w:color="auto"/>
              <w:right w:val="single" w:sz="4" w:space="0" w:color="auto"/>
            </w:tcBorders>
          </w:tcPr>
          <w:p w14:paraId="2E1B3C18"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2.1</w:t>
            </w:r>
          </w:p>
        </w:tc>
        <w:tc>
          <w:tcPr>
            <w:tcW w:w="3109" w:type="pct"/>
            <w:tcBorders>
              <w:top w:val="single" w:sz="4" w:space="0" w:color="auto"/>
              <w:left w:val="single" w:sz="4" w:space="0" w:color="auto"/>
              <w:bottom w:val="single" w:sz="4" w:space="0" w:color="auto"/>
              <w:right w:val="single" w:sz="4" w:space="0" w:color="auto"/>
            </w:tcBorders>
            <w:vAlign w:val="center"/>
            <w:hideMark/>
          </w:tcPr>
          <w:p w14:paraId="65DD2D79"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 Strategic Assessment Report (SAR) completed for all capital projects and programmes over €10m?</w:t>
            </w:r>
          </w:p>
        </w:tc>
        <w:tc>
          <w:tcPr>
            <w:tcW w:w="506" w:type="pct"/>
            <w:tcBorders>
              <w:top w:val="single" w:sz="4" w:space="0" w:color="auto"/>
              <w:left w:val="single" w:sz="4" w:space="0" w:color="auto"/>
              <w:bottom w:val="single" w:sz="4" w:space="0" w:color="auto"/>
              <w:right w:val="single" w:sz="4" w:space="0" w:color="auto"/>
            </w:tcBorders>
          </w:tcPr>
          <w:p w14:paraId="7126631B" w14:textId="33D2F9C5"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68B4EF14" w14:textId="3FC4CC04"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All Business cases presented and approved by Elected Members.</w:t>
            </w:r>
          </w:p>
        </w:tc>
      </w:tr>
      <w:tr w:rsidR="009C2ABE" w:rsidRPr="00D07032" w14:paraId="1BCB66FA"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6842FA2E"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2.2</w:t>
            </w:r>
          </w:p>
        </w:tc>
        <w:tc>
          <w:tcPr>
            <w:tcW w:w="3109" w:type="pct"/>
            <w:tcBorders>
              <w:top w:val="single" w:sz="4" w:space="0" w:color="auto"/>
              <w:left w:val="single" w:sz="4" w:space="0" w:color="auto"/>
              <w:bottom w:val="single" w:sz="4" w:space="0" w:color="auto"/>
              <w:right w:val="single" w:sz="4" w:space="0" w:color="auto"/>
            </w:tcBorders>
            <w:vAlign w:val="center"/>
            <w:hideMark/>
          </w:tcPr>
          <w:p w14:paraId="6C84B69D"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 xml:space="preserve">Were performance indicators specified for each project/programme which will allow for a robust evaluation </w:t>
            </w:r>
            <w:proofErr w:type="gramStart"/>
            <w:r w:rsidRPr="00D07032">
              <w:rPr>
                <w:rFonts w:ascii="Calibri" w:eastAsia="Calibri" w:hAnsi="Calibri" w:cs="Arial"/>
                <w:sz w:val="20"/>
                <w:lang w:val="en-IE" w:eastAsia="en-US"/>
              </w:rPr>
              <w:t>at a later date</w:t>
            </w:r>
            <w:proofErr w:type="gramEnd"/>
            <w:r w:rsidRPr="00D07032">
              <w:rPr>
                <w:rFonts w:ascii="Calibri" w:eastAsia="Calibri" w:hAnsi="Calibri" w:cs="Arial"/>
                <w:sz w:val="20"/>
                <w:lang w:val="en-IE" w:eastAsia="en-US"/>
              </w:rPr>
              <w:t>?</w:t>
            </w:r>
          </w:p>
          <w:p w14:paraId="3A5E8F95"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Have steps been put in place to gather performance indicator data?</w:t>
            </w:r>
          </w:p>
        </w:tc>
        <w:tc>
          <w:tcPr>
            <w:tcW w:w="506" w:type="pct"/>
            <w:tcBorders>
              <w:top w:val="single" w:sz="4" w:space="0" w:color="auto"/>
              <w:left w:val="single" w:sz="4" w:space="0" w:color="auto"/>
              <w:bottom w:val="single" w:sz="4" w:space="0" w:color="auto"/>
              <w:right w:val="single" w:sz="4" w:space="0" w:color="auto"/>
            </w:tcBorders>
          </w:tcPr>
          <w:p w14:paraId="58B72C5B" w14:textId="7AF9C6C6"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36" w:type="pct"/>
            <w:tcBorders>
              <w:top w:val="single" w:sz="4" w:space="0" w:color="auto"/>
              <w:left w:val="single" w:sz="4" w:space="0" w:color="auto"/>
              <w:bottom w:val="single" w:sz="4" w:space="0" w:color="auto"/>
              <w:right w:val="single" w:sz="4" w:space="0" w:color="auto"/>
            </w:tcBorders>
          </w:tcPr>
          <w:p w14:paraId="5B4B8AFF" w14:textId="77777777" w:rsidR="009C2ABE" w:rsidRPr="009C2ABE" w:rsidRDefault="009C2ABE" w:rsidP="00560407">
            <w:pPr>
              <w:pStyle w:val="NoSpacing"/>
              <w:spacing w:before="60" w:after="60"/>
              <w:rPr>
                <w:rFonts w:asciiTheme="minorHAnsi" w:hAnsiTheme="minorHAnsi" w:cstheme="minorHAnsi"/>
                <w:sz w:val="20"/>
              </w:rPr>
            </w:pPr>
            <w:r w:rsidRPr="009C2ABE">
              <w:rPr>
                <w:rFonts w:asciiTheme="minorHAnsi" w:hAnsiTheme="minorHAnsi" w:cstheme="minorHAnsi"/>
                <w:sz w:val="20"/>
              </w:rPr>
              <w:t>Specific targets and metrics are incorporated into Business cases for each Project.</w:t>
            </w:r>
          </w:p>
          <w:p w14:paraId="062D881D" w14:textId="77777777" w:rsidR="009C2ABE" w:rsidRPr="009C2ABE" w:rsidRDefault="009C2ABE" w:rsidP="00560407">
            <w:pPr>
              <w:spacing w:after="80"/>
              <w:rPr>
                <w:rFonts w:asciiTheme="minorHAnsi" w:eastAsia="Calibri" w:hAnsiTheme="minorHAnsi" w:cstheme="minorHAnsi"/>
                <w:sz w:val="20"/>
                <w:lang w:val="en-IE" w:eastAsia="en-US"/>
              </w:rPr>
            </w:pPr>
          </w:p>
        </w:tc>
      </w:tr>
      <w:tr w:rsidR="009C2ABE" w:rsidRPr="00D07032" w14:paraId="6971160F"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653A3F43"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2.3</w:t>
            </w:r>
          </w:p>
        </w:tc>
        <w:tc>
          <w:tcPr>
            <w:tcW w:w="3109" w:type="pct"/>
            <w:tcBorders>
              <w:top w:val="single" w:sz="4" w:space="0" w:color="auto"/>
              <w:left w:val="single" w:sz="4" w:space="0" w:color="auto"/>
              <w:bottom w:val="single" w:sz="4" w:space="0" w:color="auto"/>
              <w:right w:val="single" w:sz="4" w:space="0" w:color="auto"/>
            </w:tcBorders>
            <w:vAlign w:val="center"/>
            <w:hideMark/>
          </w:tcPr>
          <w:p w14:paraId="0699E142"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 Preliminary and Final Business Case, including appropriate financial and economic appraisal, completed for all capital projects and programmes?</w:t>
            </w:r>
          </w:p>
        </w:tc>
        <w:tc>
          <w:tcPr>
            <w:tcW w:w="506" w:type="pct"/>
            <w:tcBorders>
              <w:top w:val="single" w:sz="4" w:space="0" w:color="auto"/>
              <w:left w:val="single" w:sz="4" w:space="0" w:color="auto"/>
              <w:bottom w:val="single" w:sz="4" w:space="0" w:color="auto"/>
              <w:right w:val="single" w:sz="4" w:space="0" w:color="auto"/>
            </w:tcBorders>
          </w:tcPr>
          <w:p w14:paraId="58635460" w14:textId="7C203638"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75A8D7F0" w14:textId="7ACCFD86"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All approved Business cases, forwarded to Funding Department.</w:t>
            </w:r>
          </w:p>
        </w:tc>
      </w:tr>
      <w:tr w:rsidR="009C2ABE" w:rsidRPr="00D07032" w14:paraId="44163A00"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326831AA"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2.4</w:t>
            </w:r>
          </w:p>
        </w:tc>
        <w:tc>
          <w:tcPr>
            <w:tcW w:w="3109" w:type="pct"/>
            <w:tcBorders>
              <w:top w:val="single" w:sz="4" w:space="0" w:color="auto"/>
              <w:left w:val="single" w:sz="4" w:space="0" w:color="auto"/>
              <w:bottom w:val="single" w:sz="4" w:space="0" w:color="auto"/>
              <w:right w:val="single" w:sz="4" w:space="0" w:color="auto"/>
            </w:tcBorders>
            <w:vAlign w:val="center"/>
            <w:hideMark/>
          </w:tcPr>
          <w:p w14:paraId="62461608"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 xml:space="preserve">Were the proposal objectives SMART and aligned with Government policy including National Planning Framework, Climate Mitigation Plan etc? </w:t>
            </w:r>
          </w:p>
        </w:tc>
        <w:tc>
          <w:tcPr>
            <w:tcW w:w="506" w:type="pct"/>
            <w:tcBorders>
              <w:top w:val="single" w:sz="4" w:space="0" w:color="auto"/>
              <w:left w:val="single" w:sz="4" w:space="0" w:color="auto"/>
              <w:bottom w:val="single" w:sz="4" w:space="0" w:color="auto"/>
              <w:right w:val="single" w:sz="4" w:space="0" w:color="auto"/>
            </w:tcBorders>
          </w:tcPr>
          <w:p w14:paraId="35C8117D" w14:textId="2526EF33"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36" w:type="pct"/>
            <w:tcBorders>
              <w:top w:val="single" w:sz="4" w:space="0" w:color="auto"/>
              <w:left w:val="single" w:sz="4" w:space="0" w:color="auto"/>
              <w:bottom w:val="single" w:sz="4" w:space="0" w:color="auto"/>
              <w:right w:val="single" w:sz="4" w:space="0" w:color="auto"/>
            </w:tcBorders>
          </w:tcPr>
          <w:p w14:paraId="5753C76B" w14:textId="61B33232"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58ACCB27"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23BBDB95"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2.5</w:t>
            </w:r>
          </w:p>
        </w:tc>
        <w:tc>
          <w:tcPr>
            <w:tcW w:w="3109" w:type="pct"/>
            <w:tcBorders>
              <w:top w:val="single" w:sz="4" w:space="0" w:color="auto"/>
              <w:left w:val="single" w:sz="4" w:space="0" w:color="auto"/>
              <w:bottom w:val="single" w:sz="4" w:space="0" w:color="auto"/>
              <w:right w:val="single" w:sz="4" w:space="0" w:color="auto"/>
            </w:tcBorders>
            <w:vAlign w:val="center"/>
            <w:hideMark/>
          </w:tcPr>
          <w:p w14:paraId="78E3A4D6"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an appropriate appraisal method and parameters used in respect of capital projects or capital programmes/grant schemes?</w:t>
            </w:r>
          </w:p>
        </w:tc>
        <w:tc>
          <w:tcPr>
            <w:tcW w:w="506" w:type="pct"/>
            <w:tcBorders>
              <w:top w:val="single" w:sz="4" w:space="0" w:color="auto"/>
              <w:left w:val="single" w:sz="4" w:space="0" w:color="auto"/>
              <w:bottom w:val="single" w:sz="4" w:space="0" w:color="auto"/>
              <w:right w:val="single" w:sz="4" w:space="0" w:color="auto"/>
            </w:tcBorders>
          </w:tcPr>
          <w:p w14:paraId="5037B168" w14:textId="32998A9F"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039DD2CE" w14:textId="4767C32A"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3214D17F"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77FA7859"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2.6</w:t>
            </w:r>
          </w:p>
        </w:tc>
        <w:tc>
          <w:tcPr>
            <w:tcW w:w="3109" w:type="pct"/>
            <w:tcBorders>
              <w:top w:val="single" w:sz="4" w:space="0" w:color="auto"/>
              <w:left w:val="single" w:sz="4" w:space="0" w:color="auto"/>
              <w:bottom w:val="single" w:sz="4" w:space="0" w:color="auto"/>
              <w:right w:val="single" w:sz="4" w:space="0" w:color="auto"/>
            </w:tcBorders>
            <w:vAlign w:val="center"/>
            <w:hideMark/>
          </w:tcPr>
          <w:p w14:paraId="5EE7DEB9"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 financial appraisal carried out on all proposals and was there appropriate consideration of affordability?</w:t>
            </w:r>
          </w:p>
        </w:tc>
        <w:tc>
          <w:tcPr>
            <w:tcW w:w="506" w:type="pct"/>
            <w:tcBorders>
              <w:top w:val="single" w:sz="4" w:space="0" w:color="auto"/>
              <w:left w:val="single" w:sz="4" w:space="0" w:color="auto"/>
              <w:bottom w:val="single" w:sz="4" w:space="0" w:color="auto"/>
              <w:right w:val="single" w:sz="4" w:space="0" w:color="auto"/>
            </w:tcBorders>
          </w:tcPr>
          <w:p w14:paraId="00584ABC" w14:textId="72B6EE15"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36" w:type="pct"/>
            <w:tcBorders>
              <w:top w:val="single" w:sz="4" w:space="0" w:color="auto"/>
              <w:left w:val="single" w:sz="4" w:space="0" w:color="auto"/>
              <w:bottom w:val="single" w:sz="4" w:space="0" w:color="auto"/>
              <w:right w:val="single" w:sz="4" w:space="0" w:color="auto"/>
            </w:tcBorders>
          </w:tcPr>
          <w:p w14:paraId="5637B482" w14:textId="6ED894EF"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37DC8017" w14:textId="77777777" w:rsidTr="009C2ABE">
        <w:trPr>
          <w:trHeight w:val="325"/>
          <w:jc w:val="center"/>
        </w:trPr>
        <w:tc>
          <w:tcPr>
            <w:tcW w:w="348" w:type="pct"/>
            <w:tcBorders>
              <w:top w:val="single" w:sz="4" w:space="0" w:color="auto"/>
              <w:left w:val="single" w:sz="4" w:space="0" w:color="auto"/>
              <w:bottom w:val="single" w:sz="4" w:space="0" w:color="auto"/>
              <w:right w:val="single" w:sz="4" w:space="0" w:color="auto"/>
            </w:tcBorders>
          </w:tcPr>
          <w:p w14:paraId="63B5B712"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2.7</w:t>
            </w:r>
          </w:p>
        </w:tc>
        <w:tc>
          <w:tcPr>
            <w:tcW w:w="3109" w:type="pct"/>
            <w:tcBorders>
              <w:top w:val="single" w:sz="4" w:space="0" w:color="auto"/>
              <w:left w:val="single" w:sz="4" w:space="0" w:color="auto"/>
              <w:bottom w:val="single" w:sz="4" w:space="0" w:color="auto"/>
              <w:right w:val="single" w:sz="4" w:space="0" w:color="auto"/>
            </w:tcBorders>
            <w:vAlign w:val="center"/>
            <w:hideMark/>
          </w:tcPr>
          <w:p w14:paraId="4D3D27BF"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the appraisal process commenced at an early enough stage to inform decision making?</w:t>
            </w:r>
          </w:p>
        </w:tc>
        <w:tc>
          <w:tcPr>
            <w:tcW w:w="506" w:type="pct"/>
            <w:tcBorders>
              <w:top w:val="single" w:sz="4" w:space="0" w:color="auto"/>
              <w:left w:val="single" w:sz="4" w:space="0" w:color="auto"/>
              <w:bottom w:val="single" w:sz="4" w:space="0" w:color="auto"/>
              <w:right w:val="single" w:sz="4" w:space="0" w:color="auto"/>
            </w:tcBorders>
          </w:tcPr>
          <w:p w14:paraId="3E2AAE0B" w14:textId="05D69807"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0663A5CE" w14:textId="1492FA1F"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Approval in Principle acquired for each Project.</w:t>
            </w:r>
          </w:p>
        </w:tc>
      </w:tr>
      <w:tr w:rsidR="009C2ABE" w:rsidRPr="00D07032" w14:paraId="6C232017" w14:textId="77777777" w:rsidTr="009C2ABE">
        <w:trPr>
          <w:trHeight w:val="325"/>
          <w:jc w:val="center"/>
        </w:trPr>
        <w:tc>
          <w:tcPr>
            <w:tcW w:w="348" w:type="pct"/>
            <w:tcBorders>
              <w:top w:val="single" w:sz="4" w:space="0" w:color="auto"/>
              <w:left w:val="single" w:sz="4" w:space="0" w:color="auto"/>
              <w:bottom w:val="single" w:sz="4" w:space="0" w:color="auto"/>
              <w:right w:val="single" w:sz="4" w:space="0" w:color="auto"/>
            </w:tcBorders>
          </w:tcPr>
          <w:p w14:paraId="212ACB4C"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2.8</w:t>
            </w:r>
          </w:p>
        </w:tc>
        <w:tc>
          <w:tcPr>
            <w:tcW w:w="3109" w:type="pct"/>
            <w:tcBorders>
              <w:top w:val="single" w:sz="4" w:space="0" w:color="auto"/>
              <w:left w:val="single" w:sz="4" w:space="0" w:color="auto"/>
              <w:bottom w:val="single" w:sz="4" w:space="0" w:color="auto"/>
              <w:right w:val="single" w:sz="4" w:space="0" w:color="auto"/>
            </w:tcBorders>
            <w:vAlign w:val="center"/>
          </w:tcPr>
          <w:p w14:paraId="01C5ED64"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Were sufficient options analysed in the business case for each capital proposal?</w:t>
            </w:r>
          </w:p>
        </w:tc>
        <w:tc>
          <w:tcPr>
            <w:tcW w:w="506" w:type="pct"/>
            <w:tcBorders>
              <w:top w:val="single" w:sz="4" w:space="0" w:color="auto"/>
              <w:left w:val="single" w:sz="4" w:space="0" w:color="auto"/>
              <w:bottom w:val="single" w:sz="4" w:space="0" w:color="auto"/>
              <w:right w:val="single" w:sz="4" w:space="0" w:color="auto"/>
            </w:tcBorders>
          </w:tcPr>
          <w:p w14:paraId="2130D372" w14:textId="659225DD"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692C8625" w14:textId="32C38EBD"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23A2BF25"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1A930CB7"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2.9</w:t>
            </w:r>
          </w:p>
        </w:tc>
        <w:tc>
          <w:tcPr>
            <w:tcW w:w="3109" w:type="pct"/>
            <w:tcBorders>
              <w:top w:val="single" w:sz="4" w:space="0" w:color="auto"/>
              <w:left w:val="single" w:sz="4" w:space="0" w:color="auto"/>
              <w:bottom w:val="single" w:sz="4" w:space="0" w:color="auto"/>
              <w:right w:val="single" w:sz="4" w:space="0" w:color="auto"/>
            </w:tcBorders>
            <w:vAlign w:val="center"/>
            <w:hideMark/>
          </w:tcPr>
          <w:p w14:paraId="165B93C9"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the evidence base for the estimated cost set out in each business case?</w:t>
            </w:r>
          </w:p>
          <w:p w14:paraId="52414E8D"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an appropriate methodology used to estimate the cost?</w:t>
            </w:r>
          </w:p>
          <w:p w14:paraId="2E6F4A78"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Were appropriate budget contingencies put in place?</w:t>
            </w:r>
          </w:p>
        </w:tc>
        <w:tc>
          <w:tcPr>
            <w:tcW w:w="506" w:type="pct"/>
            <w:tcBorders>
              <w:top w:val="single" w:sz="4" w:space="0" w:color="auto"/>
              <w:left w:val="single" w:sz="4" w:space="0" w:color="auto"/>
              <w:bottom w:val="single" w:sz="4" w:space="0" w:color="auto"/>
              <w:right w:val="single" w:sz="4" w:space="0" w:color="auto"/>
            </w:tcBorders>
          </w:tcPr>
          <w:p w14:paraId="7E88AFDD" w14:textId="42D25C1D"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1B248F04" w14:textId="77777777" w:rsidR="009C2ABE" w:rsidRPr="009C2ABE" w:rsidRDefault="009C2ABE" w:rsidP="00560407">
            <w:pPr>
              <w:rPr>
                <w:rFonts w:asciiTheme="minorHAnsi" w:hAnsiTheme="minorHAnsi" w:cstheme="minorHAnsi"/>
                <w:sz w:val="20"/>
              </w:rPr>
            </w:pPr>
          </w:p>
          <w:p w14:paraId="5CCF9C0E" w14:textId="648F550F"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71D0DFCE"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358BC429"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2.10</w:t>
            </w:r>
          </w:p>
        </w:tc>
        <w:tc>
          <w:tcPr>
            <w:tcW w:w="3109" w:type="pct"/>
            <w:tcBorders>
              <w:top w:val="single" w:sz="4" w:space="0" w:color="auto"/>
              <w:left w:val="single" w:sz="4" w:space="0" w:color="auto"/>
              <w:bottom w:val="single" w:sz="4" w:space="0" w:color="auto"/>
              <w:right w:val="single" w:sz="4" w:space="0" w:color="auto"/>
            </w:tcBorders>
            <w:vAlign w:val="center"/>
            <w:hideMark/>
          </w:tcPr>
          <w:p w14:paraId="4DF12AF1"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risk considered and a risk mitigation strategy commenced?</w:t>
            </w:r>
          </w:p>
          <w:p w14:paraId="3809356B"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appropriate consideration given to governance and deliverability?</w:t>
            </w:r>
          </w:p>
        </w:tc>
        <w:tc>
          <w:tcPr>
            <w:tcW w:w="506" w:type="pct"/>
            <w:tcBorders>
              <w:top w:val="single" w:sz="4" w:space="0" w:color="auto"/>
              <w:left w:val="single" w:sz="4" w:space="0" w:color="auto"/>
              <w:bottom w:val="single" w:sz="4" w:space="0" w:color="auto"/>
              <w:right w:val="single" w:sz="4" w:space="0" w:color="auto"/>
            </w:tcBorders>
          </w:tcPr>
          <w:p w14:paraId="545329DA" w14:textId="5EA319E8"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36" w:type="pct"/>
            <w:tcBorders>
              <w:top w:val="single" w:sz="4" w:space="0" w:color="auto"/>
              <w:left w:val="single" w:sz="4" w:space="0" w:color="auto"/>
              <w:bottom w:val="single" w:sz="4" w:space="0" w:color="auto"/>
              <w:right w:val="single" w:sz="4" w:space="0" w:color="auto"/>
            </w:tcBorders>
          </w:tcPr>
          <w:p w14:paraId="15798430" w14:textId="6DED800F"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6DAE9332"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7526CEC7"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2.11</w:t>
            </w:r>
          </w:p>
        </w:tc>
        <w:tc>
          <w:tcPr>
            <w:tcW w:w="3109" w:type="pct"/>
            <w:tcBorders>
              <w:top w:val="single" w:sz="4" w:space="0" w:color="auto"/>
              <w:left w:val="single" w:sz="4" w:space="0" w:color="auto"/>
              <w:bottom w:val="single" w:sz="4" w:space="0" w:color="auto"/>
              <w:right w:val="single" w:sz="4" w:space="0" w:color="auto"/>
            </w:tcBorders>
            <w:vAlign w:val="center"/>
            <w:hideMark/>
          </w:tcPr>
          <w:p w14:paraId="6CD7ACB0"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Were the Strategic Assessment Report, Preliminary and Final Business Case submitted to DPER for technical review for projects estimated to cost over €100m?</w:t>
            </w:r>
          </w:p>
        </w:tc>
        <w:tc>
          <w:tcPr>
            <w:tcW w:w="506" w:type="pct"/>
            <w:tcBorders>
              <w:top w:val="single" w:sz="4" w:space="0" w:color="auto"/>
              <w:left w:val="single" w:sz="4" w:space="0" w:color="auto"/>
              <w:bottom w:val="single" w:sz="4" w:space="0" w:color="auto"/>
              <w:right w:val="single" w:sz="4" w:space="0" w:color="auto"/>
            </w:tcBorders>
          </w:tcPr>
          <w:p w14:paraId="2908DAA5" w14:textId="4B569FF5"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36" w:type="pct"/>
            <w:tcBorders>
              <w:top w:val="single" w:sz="4" w:space="0" w:color="auto"/>
              <w:left w:val="single" w:sz="4" w:space="0" w:color="auto"/>
              <w:bottom w:val="single" w:sz="4" w:space="0" w:color="auto"/>
              <w:right w:val="single" w:sz="4" w:space="0" w:color="auto"/>
            </w:tcBorders>
          </w:tcPr>
          <w:p w14:paraId="53B8A569" w14:textId="77777777" w:rsidR="009C2ABE" w:rsidRPr="009C2ABE" w:rsidRDefault="009C2ABE" w:rsidP="00560407">
            <w:pPr>
              <w:spacing w:after="80"/>
              <w:rPr>
                <w:rFonts w:asciiTheme="minorHAnsi" w:eastAsia="Calibri" w:hAnsiTheme="minorHAnsi" w:cstheme="minorHAnsi"/>
                <w:sz w:val="20"/>
                <w:lang w:val="en-IE" w:eastAsia="en-US"/>
              </w:rPr>
            </w:pPr>
          </w:p>
        </w:tc>
      </w:tr>
      <w:tr w:rsidR="009C2ABE" w:rsidRPr="00D07032" w14:paraId="6AC0E654"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5D51CE23"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2.12</w:t>
            </w:r>
          </w:p>
        </w:tc>
        <w:tc>
          <w:tcPr>
            <w:tcW w:w="3109" w:type="pct"/>
            <w:tcBorders>
              <w:top w:val="single" w:sz="4" w:space="0" w:color="auto"/>
              <w:left w:val="single" w:sz="4" w:space="0" w:color="auto"/>
              <w:bottom w:val="single" w:sz="4" w:space="0" w:color="auto"/>
              <w:right w:val="single" w:sz="4" w:space="0" w:color="auto"/>
            </w:tcBorders>
            <w:vAlign w:val="center"/>
          </w:tcPr>
          <w:p w14:paraId="265E00FD"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a detailed project brief including design brief and procurement strategy prepared for all investment projects?</w:t>
            </w:r>
          </w:p>
        </w:tc>
        <w:tc>
          <w:tcPr>
            <w:tcW w:w="506" w:type="pct"/>
            <w:tcBorders>
              <w:top w:val="single" w:sz="4" w:space="0" w:color="auto"/>
              <w:left w:val="single" w:sz="4" w:space="0" w:color="auto"/>
              <w:bottom w:val="single" w:sz="4" w:space="0" w:color="auto"/>
              <w:right w:val="single" w:sz="4" w:space="0" w:color="auto"/>
            </w:tcBorders>
          </w:tcPr>
          <w:p w14:paraId="7F58AF71" w14:textId="5543520B"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084F7179" w14:textId="12AF5A3F"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236EB0E7"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05510746"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Q 2.13</w:t>
            </w:r>
          </w:p>
        </w:tc>
        <w:tc>
          <w:tcPr>
            <w:tcW w:w="3109" w:type="pct"/>
            <w:tcBorders>
              <w:top w:val="single" w:sz="4" w:space="0" w:color="auto"/>
              <w:left w:val="single" w:sz="4" w:space="0" w:color="auto"/>
              <w:bottom w:val="single" w:sz="4" w:space="0" w:color="auto"/>
              <w:right w:val="single" w:sz="4" w:space="0" w:color="auto"/>
            </w:tcBorders>
            <w:vAlign w:val="center"/>
          </w:tcPr>
          <w:p w14:paraId="1090CB58"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Were procurement rules (both National and EU) complied with?</w:t>
            </w:r>
          </w:p>
        </w:tc>
        <w:tc>
          <w:tcPr>
            <w:tcW w:w="506" w:type="pct"/>
            <w:tcBorders>
              <w:top w:val="single" w:sz="4" w:space="0" w:color="auto"/>
              <w:left w:val="single" w:sz="4" w:space="0" w:color="auto"/>
              <w:bottom w:val="single" w:sz="4" w:space="0" w:color="auto"/>
              <w:right w:val="single" w:sz="4" w:space="0" w:color="auto"/>
            </w:tcBorders>
          </w:tcPr>
          <w:p w14:paraId="1DD5AA50" w14:textId="6C25EC17"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28F39382" w14:textId="05DF19F5"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Procurement complies with Laws &amp; Regulations.</w:t>
            </w:r>
          </w:p>
        </w:tc>
      </w:tr>
      <w:tr w:rsidR="009C2ABE" w:rsidRPr="00D07032" w14:paraId="7E059BD4"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68855D1D"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lastRenderedPageBreak/>
              <w:t>Q 2.14</w:t>
            </w:r>
          </w:p>
        </w:tc>
        <w:tc>
          <w:tcPr>
            <w:tcW w:w="3109" w:type="pct"/>
            <w:tcBorders>
              <w:top w:val="single" w:sz="4" w:space="0" w:color="auto"/>
              <w:left w:val="single" w:sz="4" w:space="0" w:color="auto"/>
              <w:bottom w:val="single" w:sz="4" w:space="0" w:color="auto"/>
              <w:right w:val="single" w:sz="4" w:space="0" w:color="auto"/>
            </w:tcBorders>
            <w:vAlign w:val="center"/>
          </w:tcPr>
          <w:p w14:paraId="5F522183" w14:textId="77777777" w:rsidR="009C2ABE" w:rsidRPr="00D07032" w:rsidRDefault="009C2ABE" w:rsidP="00560407">
            <w:pPr>
              <w:spacing w:after="80"/>
              <w:rPr>
                <w:rFonts w:ascii="Calibri" w:eastAsia="Calibri" w:hAnsi="Calibri" w:cs="Arial"/>
                <w:sz w:val="20"/>
                <w:lang w:val="en-IE" w:eastAsia="en-US"/>
              </w:rPr>
            </w:pPr>
            <w:r w:rsidRPr="00D07032">
              <w:rPr>
                <w:rFonts w:ascii="Calibri" w:eastAsia="Calibri" w:hAnsi="Calibri" w:cs="Arial"/>
                <w:sz w:val="20"/>
                <w:lang w:val="en-IE" w:eastAsia="en-US"/>
              </w:rPr>
              <w:t>Was the Capital Works Management Framework (CWMF) properly implemented?</w:t>
            </w:r>
          </w:p>
        </w:tc>
        <w:tc>
          <w:tcPr>
            <w:tcW w:w="506" w:type="pct"/>
            <w:tcBorders>
              <w:top w:val="single" w:sz="4" w:space="0" w:color="auto"/>
              <w:left w:val="single" w:sz="4" w:space="0" w:color="auto"/>
              <w:bottom w:val="single" w:sz="4" w:space="0" w:color="auto"/>
              <w:right w:val="single" w:sz="4" w:space="0" w:color="auto"/>
            </w:tcBorders>
          </w:tcPr>
          <w:p w14:paraId="6CDC81B8" w14:textId="5AF3792F" w:rsidR="009C2ABE" w:rsidRPr="00F21B37" w:rsidRDefault="009C2ABE" w:rsidP="00560407">
            <w:pPr>
              <w:spacing w:after="80"/>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62695598" w14:textId="497CEE38" w:rsidR="009C2ABE" w:rsidRPr="009C2ABE" w:rsidRDefault="009C2ABE" w:rsidP="00560407">
            <w:pPr>
              <w:spacing w:after="80"/>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192CE931"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38381EA2"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2.15</w:t>
            </w:r>
          </w:p>
        </w:tc>
        <w:tc>
          <w:tcPr>
            <w:tcW w:w="3109" w:type="pct"/>
            <w:tcBorders>
              <w:top w:val="single" w:sz="4" w:space="0" w:color="auto"/>
              <w:left w:val="single" w:sz="4" w:space="0" w:color="auto"/>
              <w:bottom w:val="single" w:sz="4" w:space="0" w:color="auto"/>
              <w:right w:val="single" w:sz="4" w:space="0" w:color="auto"/>
            </w:tcBorders>
            <w:vAlign w:val="center"/>
          </w:tcPr>
          <w:p w14:paraId="5BFC0830"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Were State Aid rules checked for all support?</w:t>
            </w:r>
          </w:p>
        </w:tc>
        <w:tc>
          <w:tcPr>
            <w:tcW w:w="506" w:type="pct"/>
            <w:tcBorders>
              <w:top w:val="single" w:sz="4" w:space="0" w:color="auto"/>
              <w:left w:val="single" w:sz="4" w:space="0" w:color="auto"/>
              <w:bottom w:val="single" w:sz="4" w:space="0" w:color="auto"/>
              <w:right w:val="single" w:sz="4" w:space="0" w:color="auto"/>
            </w:tcBorders>
          </w:tcPr>
          <w:p w14:paraId="6ED30362" w14:textId="58CBB4A2"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3035C0A9" w14:textId="19DD7FF9"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Plans compiled as required by Funding Departments</w:t>
            </w:r>
          </w:p>
        </w:tc>
      </w:tr>
      <w:tr w:rsidR="009C2ABE" w:rsidRPr="00D07032" w14:paraId="4DA7F27E"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6AFAAF7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2.16</w:t>
            </w:r>
          </w:p>
        </w:tc>
        <w:tc>
          <w:tcPr>
            <w:tcW w:w="3109" w:type="pct"/>
            <w:tcBorders>
              <w:top w:val="single" w:sz="4" w:space="0" w:color="auto"/>
              <w:left w:val="single" w:sz="4" w:space="0" w:color="auto"/>
              <w:bottom w:val="single" w:sz="4" w:space="0" w:color="auto"/>
              <w:right w:val="single" w:sz="4" w:space="0" w:color="auto"/>
            </w:tcBorders>
            <w:vAlign w:val="center"/>
          </w:tcPr>
          <w:p w14:paraId="2E29C6E4"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approval sought from the Approving Authority at all decision gates?</w:t>
            </w:r>
          </w:p>
        </w:tc>
        <w:tc>
          <w:tcPr>
            <w:tcW w:w="506" w:type="pct"/>
            <w:tcBorders>
              <w:top w:val="single" w:sz="4" w:space="0" w:color="auto"/>
              <w:left w:val="single" w:sz="4" w:space="0" w:color="auto"/>
              <w:bottom w:val="single" w:sz="4" w:space="0" w:color="auto"/>
              <w:right w:val="single" w:sz="4" w:space="0" w:color="auto"/>
            </w:tcBorders>
          </w:tcPr>
          <w:p w14:paraId="13BFD2E7" w14:textId="6183341E"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410A92A1" w14:textId="017359BD"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Approval at each stage acquired for each Project.</w:t>
            </w:r>
          </w:p>
        </w:tc>
      </w:tr>
      <w:tr w:rsidR="009C2ABE" w:rsidRPr="00D07032" w14:paraId="1B1B730A"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3F0EBAF8"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2.17</w:t>
            </w:r>
          </w:p>
        </w:tc>
        <w:tc>
          <w:tcPr>
            <w:tcW w:w="3109" w:type="pct"/>
            <w:tcBorders>
              <w:top w:val="single" w:sz="4" w:space="0" w:color="auto"/>
              <w:left w:val="single" w:sz="4" w:space="0" w:color="auto"/>
              <w:bottom w:val="single" w:sz="4" w:space="0" w:color="auto"/>
              <w:right w:val="single" w:sz="4" w:space="0" w:color="auto"/>
            </w:tcBorders>
            <w:vAlign w:val="center"/>
            <w:hideMark/>
          </w:tcPr>
          <w:p w14:paraId="332784D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Value for Money assessed and confirmed at each decision gate by Sponsoring Agency and Approving Authority?</w:t>
            </w:r>
          </w:p>
        </w:tc>
        <w:tc>
          <w:tcPr>
            <w:tcW w:w="506" w:type="pct"/>
            <w:tcBorders>
              <w:top w:val="single" w:sz="4" w:space="0" w:color="auto"/>
              <w:left w:val="single" w:sz="4" w:space="0" w:color="auto"/>
              <w:bottom w:val="single" w:sz="4" w:space="0" w:color="auto"/>
              <w:right w:val="single" w:sz="4" w:space="0" w:color="auto"/>
            </w:tcBorders>
          </w:tcPr>
          <w:p w14:paraId="0E2060FC" w14:textId="41465E48"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36" w:type="pct"/>
            <w:tcBorders>
              <w:top w:val="single" w:sz="4" w:space="0" w:color="auto"/>
              <w:left w:val="single" w:sz="4" w:space="0" w:color="auto"/>
              <w:bottom w:val="single" w:sz="4" w:space="0" w:color="auto"/>
              <w:right w:val="single" w:sz="4" w:space="0" w:color="auto"/>
            </w:tcBorders>
          </w:tcPr>
          <w:p w14:paraId="0B356975" w14:textId="439BD9F5"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Approval at each stage acquired for each Project.</w:t>
            </w:r>
          </w:p>
        </w:tc>
      </w:tr>
      <w:tr w:rsidR="009C2ABE" w:rsidRPr="00D07032" w14:paraId="5ECC0DD4" w14:textId="77777777" w:rsidTr="009C2ABE">
        <w:trPr>
          <w:jc w:val="center"/>
        </w:trPr>
        <w:tc>
          <w:tcPr>
            <w:tcW w:w="348" w:type="pct"/>
            <w:tcBorders>
              <w:top w:val="single" w:sz="4" w:space="0" w:color="auto"/>
              <w:left w:val="single" w:sz="4" w:space="0" w:color="auto"/>
              <w:bottom w:val="single" w:sz="4" w:space="0" w:color="auto"/>
              <w:right w:val="single" w:sz="4" w:space="0" w:color="auto"/>
            </w:tcBorders>
          </w:tcPr>
          <w:p w14:paraId="07190FB1"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2.18</w:t>
            </w:r>
          </w:p>
        </w:tc>
        <w:tc>
          <w:tcPr>
            <w:tcW w:w="3109" w:type="pct"/>
            <w:tcBorders>
              <w:top w:val="single" w:sz="4" w:space="0" w:color="auto"/>
              <w:left w:val="single" w:sz="4" w:space="0" w:color="auto"/>
              <w:bottom w:val="single" w:sz="4" w:space="0" w:color="auto"/>
              <w:right w:val="single" w:sz="4" w:space="0" w:color="auto"/>
            </w:tcBorders>
            <w:vAlign w:val="center"/>
          </w:tcPr>
          <w:p w14:paraId="677BB099"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approval sought from Government through a Memorandum for Government at the appropriate decision gates for projects estimated to cost over €100m?</w:t>
            </w:r>
          </w:p>
        </w:tc>
        <w:tc>
          <w:tcPr>
            <w:tcW w:w="506" w:type="pct"/>
            <w:tcBorders>
              <w:top w:val="single" w:sz="4" w:space="0" w:color="auto"/>
              <w:left w:val="single" w:sz="4" w:space="0" w:color="auto"/>
              <w:bottom w:val="single" w:sz="4" w:space="0" w:color="auto"/>
              <w:right w:val="single" w:sz="4" w:space="0" w:color="auto"/>
            </w:tcBorders>
          </w:tcPr>
          <w:p w14:paraId="0F32B95F" w14:textId="4D055D3A"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36" w:type="pct"/>
            <w:tcBorders>
              <w:top w:val="single" w:sz="4" w:space="0" w:color="auto"/>
              <w:left w:val="single" w:sz="4" w:space="0" w:color="auto"/>
              <w:bottom w:val="single" w:sz="4" w:space="0" w:color="auto"/>
              <w:right w:val="single" w:sz="4" w:space="0" w:color="auto"/>
            </w:tcBorders>
          </w:tcPr>
          <w:p w14:paraId="27FE388C" w14:textId="77777777" w:rsidR="009C2ABE" w:rsidRPr="009C2ABE" w:rsidRDefault="009C2ABE" w:rsidP="00560407">
            <w:pPr>
              <w:jc w:val="center"/>
              <w:rPr>
                <w:rFonts w:asciiTheme="minorHAnsi" w:eastAsia="Calibri" w:hAnsiTheme="minorHAnsi" w:cstheme="minorHAnsi"/>
                <w:sz w:val="20"/>
                <w:lang w:val="en-IE" w:eastAsia="en-US"/>
              </w:rPr>
            </w:pPr>
          </w:p>
        </w:tc>
      </w:tr>
    </w:tbl>
    <w:p w14:paraId="553B55FB" w14:textId="77777777" w:rsidR="00D07032" w:rsidRDefault="00D07032" w:rsidP="00D07032">
      <w:pPr>
        <w:spacing w:after="200" w:line="360" w:lineRule="auto"/>
        <w:rPr>
          <w:rFonts w:asciiTheme="minorHAnsi" w:eastAsia="Calibri" w:hAnsiTheme="minorHAnsi" w:cs="Tahoma"/>
          <w:b/>
          <w:i/>
          <w:sz w:val="20"/>
          <w:lang w:val="en-IE" w:eastAsia="en-US"/>
        </w:rPr>
      </w:pPr>
      <w:r w:rsidRPr="00D07032">
        <w:rPr>
          <w:rFonts w:asciiTheme="minorHAnsi" w:eastAsia="Calibri" w:hAnsiTheme="minorHAnsi" w:cs="Tahoma"/>
          <w:b/>
          <w:i/>
          <w:sz w:val="20"/>
          <w:lang w:val="en-IE" w:eastAsia="en-US"/>
        </w:rPr>
        <w:t>See Note 2 in the opening guidelines in relation to the interpretation of Capital Grant Schemes in the context of Local Government</w:t>
      </w:r>
    </w:p>
    <w:p w14:paraId="7216441D" w14:textId="5B3FFE93" w:rsidR="00D07032" w:rsidRDefault="00D07032">
      <w:pPr>
        <w:rPr>
          <w:rFonts w:asciiTheme="minorHAnsi" w:eastAsia="Calibri" w:hAnsiTheme="minorHAnsi" w:cs="Tahoma"/>
          <w:b/>
          <w:i/>
          <w:sz w:val="20"/>
          <w:lang w:val="en-IE" w:eastAsia="en-US"/>
        </w:rPr>
      </w:pPr>
      <w:r>
        <w:rPr>
          <w:rFonts w:asciiTheme="minorHAnsi" w:eastAsia="Calibri" w:hAnsiTheme="minorHAnsi" w:cs="Tahoma"/>
          <w:b/>
          <w:i/>
          <w:sz w:val="20"/>
          <w:lang w:val="en-IE" w:eastAsia="en-US"/>
        </w:rPr>
        <w:br w:type="page"/>
      </w:r>
    </w:p>
    <w:p w14:paraId="605E6176" w14:textId="77777777" w:rsidR="00D07032" w:rsidRPr="00D07032" w:rsidRDefault="00D07032" w:rsidP="00D07032">
      <w:pPr>
        <w:spacing w:after="200" w:line="360" w:lineRule="auto"/>
        <w:rPr>
          <w:rFonts w:asciiTheme="minorHAnsi" w:eastAsia="Calibri" w:hAnsiTheme="minorHAnsi" w:cs="Tahoma"/>
          <w:b/>
          <w:sz w:val="22"/>
          <w:szCs w:val="22"/>
          <w:lang w:val="en-IE" w:eastAsia="en-US"/>
        </w:rPr>
      </w:pPr>
      <w:r w:rsidRPr="00D07032">
        <w:rPr>
          <w:rFonts w:asciiTheme="minorHAnsi" w:eastAsia="Calibri" w:hAnsiTheme="minorHAnsi" w:cs="Tahoma"/>
          <w:b/>
          <w:sz w:val="22"/>
          <w:szCs w:val="22"/>
          <w:lang w:val="en-IE" w:eastAsia="en-US"/>
        </w:rPr>
        <w:lastRenderedPageBreak/>
        <w:t>Checklist 3 – To be completed in respect of new current expenditure under consideration in the past year.</w:t>
      </w:r>
    </w:p>
    <w:tbl>
      <w:tblPr>
        <w:tblW w:w="598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5686"/>
        <w:gridCol w:w="1063"/>
        <w:gridCol w:w="2165"/>
      </w:tblGrid>
      <w:tr w:rsidR="00D07032" w:rsidRPr="00D07032" w14:paraId="498E5C35" w14:textId="77777777" w:rsidTr="00AF1710">
        <w:trPr>
          <w:cantSplit/>
          <w:trHeight w:val="1378"/>
        </w:trPr>
        <w:tc>
          <w:tcPr>
            <w:tcW w:w="513" w:type="pct"/>
            <w:tcBorders>
              <w:top w:val="single" w:sz="4" w:space="0" w:color="auto"/>
              <w:left w:val="single" w:sz="4" w:space="0" w:color="auto"/>
              <w:bottom w:val="single" w:sz="4" w:space="0" w:color="auto"/>
              <w:right w:val="single" w:sz="4" w:space="0" w:color="auto"/>
            </w:tcBorders>
            <w:shd w:val="clear" w:color="auto" w:fill="E6E6E6"/>
          </w:tcPr>
          <w:p w14:paraId="1FCDDF8F" w14:textId="77777777" w:rsidR="00D07032" w:rsidRPr="00D07032" w:rsidRDefault="00D07032" w:rsidP="00D07032">
            <w:pPr>
              <w:spacing w:after="80" w:line="360" w:lineRule="auto"/>
              <w:jc w:val="both"/>
              <w:rPr>
                <w:rFonts w:ascii="Calibri" w:eastAsia="Calibri" w:hAnsi="Calibri" w:cs="Arial"/>
                <w:b/>
                <w:sz w:val="20"/>
                <w:lang w:val="en-IE" w:eastAsia="en-US"/>
              </w:rPr>
            </w:pPr>
          </w:p>
        </w:tc>
        <w:tc>
          <w:tcPr>
            <w:tcW w:w="2862" w:type="pct"/>
            <w:tcBorders>
              <w:top w:val="single" w:sz="4" w:space="0" w:color="auto"/>
              <w:left w:val="single" w:sz="4" w:space="0" w:color="auto"/>
              <w:bottom w:val="single" w:sz="4" w:space="0" w:color="auto"/>
              <w:right w:val="single" w:sz="4" w:space="0" w:color="auto"/>
            </w:tcBorders>
            <w:shd w:val="clear" w:color="auto" w:fill="E6E6E6"/>
          </w:tcPr>
          <w:p w14:paraId="380635CF" w14:textId="77777777" w:rsidR="00D07032" w:rsidRPr="00D07032" w:rsidRDefault="00D07032" w:rsidP="00D07032">
            <w:pPr>
              <w:spacing w:after="80" w:line="360" w:lineRule="auto"/>
              <w:jc w:val="both"/>
              <w:rPr>
                <w:rFonts w:ascii="Calibri" w:eastAsia="Calibri" w:hAnsi="Calibri" w:cs="Arial"/>
                <w:b/>
                <w:sz w:val="20"/>
                <w:lang w:val="en-IE" w:eastAsia="en-US"/>
              </w:rPr>
            </w:pPr>
          </w:p>
          <w:p w14:paraId="614B1D44" w14:textId="77777777" w:rsidR="00D07032" w:rsidRPr="00D07032" w:rsidRDefault="00D07032" w:rsidP="00D07032">
            <w:pPr>
              <w:spacing w:after="8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Current Expenditure being Considered – Appraisal and Approval</w:t>
            </w:r>
          </w:p>
        </w:tc>
        <w:tc>
          <w:tcPr>
            <w:tcW w:w="535"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19AE9618" w14:textId="77777777" w:rsidR="00D07032" w:rsidRPr="00D07032" w:rsidRDefault="00D07032" w:rsidP="00D07032">
            <w:pPr>
              <w:spacing w:after="80" w:line="256" w:lineRule="auto"/>
              <w:ind w:left="113" w:right="113"/>
              <w:jc w:val="both"/>
              <w:rPr>
                <w:rFonts w:ascii="Calibri" w:eastAsia="Calibri" w:hAnsi="Calibri" w:cs="Arial"/>
                <w:b/>
                <w:sz w:val="20"/>
                <w:lang w:val="en-IE" w:eastAsia="en-US"/>
              </w:rPr>
            </w:pPr>
            <w:r w:rsidRPr="00D07032">
              <w:rPr>
                <w:rFonts w:ascii="Calibri" w:eastAsia="Calibri" w:hAnsi="Calibri" w:cs="Arial"/>
                <w:b/>
                <w:sz w:val="20"/>
                <w:lang w:val="en-IE" w:eastAsia="en-US"/>
              </w:rPr>
              <w:t>Self-Assessed Compliance Rating:  1 - 3</w:t>
            </w:r>
          </w:p>
        </w:tc>
        <w:tc>
          <w:tcPr>
            <w:tcW w:w="1090" w:type="pct"/>
            <w:tcBorders>
              <w:top w:val="single" w:sz="4" w:space="0" w:color="auto"/>
              <w:left w:val="single" w:sz="4" w:space="0" w:color="auto"/>
              <w:bottom w:val="single" w:sz="4" w:space="0" w:color="auto"/>
              <w:right w:val="single" w:sz="4" w:space="0" w:color="auto"/>
            </w:tcBorders>
            <w:shd w:val="clear" w:color="auto" w:fill="E6E6E6"/>
            <w:hideMark/>
          </w:tcPr>
          <w:p w14:paraId="59C0C8C5" w14:textId="77777777" w:rsidR="00D07032" w:rsidRPr="00D07032" w:rsidRDefault="00D07032" w:rsidP="00D07032">
            <w:pPr>
              <w:spacing w:after="80" w:line="360" w:lineRule="auto"/>
              <w:jc w:val="both"/>
              <w:rPr>
                <w:rFonts w:ascii="Calibri" w:eastAsia="Calibri" w:hAnsi="Calibri" w:cs="Arial"/>
                <w:b/>
                <w:sz w:val="20"/>
                <w:lang w:val="en-IE" w:eastAsia="en-US"/>
              </w:rPr>
            </w:pPr>
          </w:p>
          <w:p w14:paraId="53E3144B" w14:textId="77777777" w:rsidR="00D07032" w:rsidRPr="00D07032" w:rsidRDefault="00D07032" w:rsidP="00D07032">
            <w:pPr>
              <w:spacing w:after="8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9C2ABE" w:rsidRPr="00D07032" w14:paraId="3DFC5BF8" w14:textId="77777777" w:rsidTr="00AF1710">
        <w:tc>
          <w:tcPr>
            <w:tcW w:w="513" w:type="pct"/>
            <w:tcBorders>
              <w:top w:val="single" w:sz="4" w:space="0" w:color="auto"/>
              <w:left w:val="single" w:sz="4" w:space="0" w:color="auto"/>
              <w:bottom w:val="single" w:sz="4" w:space="0" w:color="auto"/>
              <w:right w:val="single" w:sz="4" w:space="0" w:color="auto"/>
            </w:tcBorders>
          </w:tcPr>
          <w:p w14:paraId="75744AB9"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w:t>
            </w:r>
          </w:p>
        </w:tc>
        <w:tc>
          <w:tcPr>
            <w:tcW w:w="2862" w:type="pct"/>
            <w:tcBorders>
              <w:top w:val="single" w:sz="4" w:space="0" w:color="auto"/>
              <w:left w:val="single" w:sz="4" w:space="0" w:color="auto"/>
              <w:bottom w:val="single" w:sz="4" w:space="0" w:color="auto"/>
              <w:right w:val="single" w:sz="4" w:space="0" w:color="auto"/>
            </w:tcBorders>
            <w:vAlign w:val="center"/>
            <w:hideMark/>
          </w:tcPr>
          <w:p w14:paraId="0963838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Were objectives clearly set out?</w:t>
            </w:r>
          </w:p>
        </w:tc>
        <w:tc>
          <w:tcPr>
            <w:tcW w:w="535" w:type="pct"/>
            <w:tcBorders>
              <w:top w:val="single" w:sz="4" w:space="0" w:color="auto"/>
              <w:left w:val="single" w:sz="4" w:space="0" w:color="auto"/>
              <w:bottom w:val="single" w:sz="4" w:space="0" w:color="auto"/>
              <w:right w:val="single" w:sz="4" w:space="0" w:color="auto"/>
            </w:tcBorders>
          </w:tcPr>
          <w:p w14:paraId="49B8E612" w14:textId="0554D814"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555F2431" w14:textId="22F238D4"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438EBFF4" w14:textId="77777777" w:rsidTr="00AF1710">
        <w:tc>
          <w:tcPr>
            <w:tcW w:w="513" w:type="pct"/>
            <w:tcBorders>
              <w:top w:val="single" w:sz="4" w:space="0" w:color="auto"/>
              <w:left w:val="single" w:sz="4" w:space="0" w:color="auto"/>
              <w:bottom w:val="single" w:sz="4" w:space="0" w:color="auto"/>
              <w:right w:val="single" w:sz="4" w:space="0" w:color="auto"/>
            </w:tcBorders>
          </w:tcPr>
          <w:p w14:paraId="15610FB7"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3.2</w:t>
            </w:r>
          </w:p>
        </w:tc>
        <w:tc>
          <w:tcPr>
            <w:tcW w:w="2862" w:type="pct"/>
            <w:tcBorders>
              <w:top w:val="single" w:sz="4" w:space="0" w:color="auto"/>
              <w:left w:val="single" w:sz="4" w:space="0" w:color="auto"/>
              <w:bottom w:val="single" w:sz="4" w:space="0" w:color="auto"/>
              <w:right w:val="single" w:sz="4" w:space="0" w:color="auto"/>
            </w:tcBorders>
            <w:vAlign w:val="center"/>
            <w:hideMark/>
          </w:tcPr>
          <w:p w14:paraId="47A4920F"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Are objectives measurable in quantitative terms?</w:t>
            </w:r>
          </w:p>
        </w:tc>
        <w:tc>
          <w:tcPr>
            <w:tcW w:w="535" w:type="pct"/>
            <w:tcBorders>
              <w:top w:val="single" w:sz="4" w:space="0" w:color="auto"/>
              <w:left w:val="single" w:sz="4" w:space="0" w:color="auto"/>
              <w:bottom w:val="single" w:sz="4" w:space="0" w:color="auto"/>
              <w:right w:val="single" w:sz="4" w:space="0" w:color="auto"/>
            </w:tcBorders>
          </w:tcPr>
          <w:p w14:paraId="0F84143B" w14:textId="417AF462"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5908D98C" w14:textId="24FE2580"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765C22EE" w14:textId="77777777" w:rsidTr="00AF1710">
        <w:tc>
          <w:tcPr>
            <w:tcW w:w="513" w:type="pct"/>
            <w:tcBorders>
              <w:top w:val="single" w:sz="4" w:space="0" w:color="auto"/>
              <w:left w:val="single" w:sz="4" w:space="0" w:color="auto"/>
              <w:bottom w:val="single" w:sz="4" w:space="0" w:color="auto"/>
              <w:right w:val="single" w:sz="4" w:space="0" w:color="auto"/>
            </w:tcBorders>
          </w:tcPr>
          <w:p w14:paraId="5666C34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3.3</w:t>
            </w:r>
          </w:p>
        </w:tc>
        <w:tc>
          <w:tcPr>
            <w:tcW w:w="2862" w:type="pct"/>
            <w:tcBorders>
              <w:top w:val="single" w:sz="4" w:space="0" w:color="auto"/>
              <w:left w:val="single" w:sz="4" w:space="0" w:color="auto"/>
              <w:bottom w:val="single" w:sz="4" w:space="0" w:color="auto"/>
              <w:right w:val="single" w:sz="4" w:space="0" w:color="auto"/>
            </w:tcBorders>
            <w:vAlign w:val="center"/>
            <w:hideMark/>
          </w:tcPr>
          <w:p w14:paraId="3F5ECAF2"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a business case, incorporating financial and economic appraisal, prepared for new current expenditure proposals?</w:t>
            </w:r>
          </w:p>
        </w:tc>
        <w:tc>
          <w:tcPr>
            <w:tcW w:w="535" w:type="pct"/>
            <w:tcBorders>
              <w:top w:val="single" w:sz="4" w:space="0" w:color="auto"/>
              <w:left w:val="single" w:sz="4" w:space="0" w:color="auto"/>
              <w:bottom w:val="single" w:sz="4" w:space="0" w:color="auto"/>
              <w:right w:val="single" w:sz="4" w:space="0" w:color="auto"/>
            </w:tcBorders>
          </w:tcPr>
          <w:p w14:paraId="329C7052" w14:textId="44F1676E"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368DBB6D" w14:textId="7C19CF2F"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35AEB17C" w14:textId="77777777" w:rsidTr="00AF1710">
        <w:tc>
          <w:tcPr>
            <w:tcW w:w="513" w:type="pct"/>
            <w:tcBorders>
              <w:top w:val="single" w:sz="4" w:space="0" w:color="auto"/>
              <w:left w:val="single" w:sz="4" w:space="0" w:color="auto"/>
              <w:bottom w:val="single" w:sz="4" w:space="0" w:color="auto"/>
              <w:right w:val="single" w:sz="4" w:space="0" w:color="auto"/>
            </w:tcBorders>
          </w:tcPr>
          <w:p w14:paraId="47B4F89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3.4</w:t>
            </w:r>
          </w:p>
        </w:tc>
        <w:tc>
          <w:tcPr>
            <w:tcW w:w="2862" w:type="pct"/>
            <w:tcBorders>
              <w:top w:val="single" w:sz="4" w:space="0" w:color="auto"/>
              <w:left w:val="single" w:sz="4" w:space="0" w:color="auto"/>
              <w:bottom w:val="single" w:sz="4" w:space="0" w:color="auto"/>
              <w:right w:val="single" w:sz="4" w:space="0" w:color="auto"/>
            </w:tcBorders>
            <w:vAlign w:val="center"/>
            <w:hideMark/>
          </w:tcPr>
          <w:p w14:paraId="04B1F468"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an appropriate appraisal method used?</w:t>
            </w:r>
          </w:p>
        </w:tc>
        <w:tc>
          <w:tcPr>
            <w:tcW w:w="535" w:type="pct"/>
            <w:tcBorders>
              <w:top w:val="single" w:sz="4" w:space="0" w:color="auto"/>
              <w:left w:val="single" w:sz="4" w:space="0" w:color="auto"/>
              <w:bottom w:val="single" w:sz="4" w:space="0" w:color="auto"/>
              <w:right w:val="single" w:sz="4" w:space="0" w:color="auto"/>
            </w:tcBorders>
          </w:tcPr>
          <w:p w14:paraId="39F9DFB2" w14:textId="052E3151"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4207860E" w14:textId="5826B1FD"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5C92BEBD" w14:textId="77777777" w:rsidTr="00AF1710">
        <w:tc>
          <w:tcPr>
            <w:tcW w:w="513" w:type="pct"/>
            <w:tcBorders>
              <w:top w:val="single" w:sz="4" w:space="0" w:color="auto"/>
              <w:left w:val="single" w:sz="4" w:space="0" w:color="auto"/>
              <w:bottom w:val="single" w:sz="4" w:space="0" w:color="auto"/>
              <w:right w:val="single" w:sz="4" w:space="0" w:color="auto"/>
            </w:tcBorders>
          </w:tcPr>
          <w:p w14:paraId="09DBB931"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3.5</w:t>
            </w:r>
          </w:p>
        </w:tc>
        <w:tc>
          <w:tcPr>
            <w:tcW w:w="2862" w:type="pct"/>
            <w:tcBorders>
              <w:top w:val="single" w:sz="4" w:space="0" w:color="auto"/>
              <w:left w:val="single" w:sz="4" w:space="0" w:color="auto"/>
              <w:bottom w:val="single" w:sz="4" w:space="0" w:color="auto"/>
              <w:right w:val="single" w:sz="4" w:space="0" w:color="auto"/>
            </w:tcBorders>
            <w:vAlign w:val="center"/>
            <w:hideMark/>
          </w:tcPr>
          <w:p w14:paraId="4D5C49CB"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an economic appraisal completed for all projects/programmes exceeding €20m or an annual spend of €5m over 4 years?</w:t>
            </w:r>
          </w:p>
        </w:tc>
        <w:tc>
          <w:tcPr>
            <w:tcW w:w="535" w:type="pct"/>
            <w:tcBorders>
              <w:top w:val="single" w:sz="4" w:space="0" w:color="auto"/>
              <w:left w:val="single" w:sz="4" w:space="0" w:color="auto"/>
              <w:bottom w:val="single" w:sz="4" w:space="0" w:color="auto"/>
              <w:right w:val="single" w:sz="4" w:space="0" w:color="auto"/>
            </w:tcBorders>
          </w:tcPr>
          <w:p w14:paraId="6887C50A" w14:textId="5F870E46"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3B9EF7BC" w14:textId="5B3B8BB0"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73101966" w14:textId="77777777" w:rsidTr="00AF1710">
        <w:tc>
          <w:tcPr>
            <w:tcW w:w="513" w:type="pct"/>
            <w:tcBorders>
              <w:top w:val="single" w:sz="4" w:space="0" w:color="auto"/>
              <w:left w:val="single" w:sz="4" w:space="0" w:color="auto"/>
              <w:bottom w:val="single" w:sz="4" w:space="0" w:color="auto"/>
              <w:right w:val="single" w:sz="4" w:space="0" w:color="auto"/>
            </w:tcBorders>
          </w:tcPr>
          <w:p w14:paraId="04AC3187"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3.6</w:t>
            </w:r>
          </w:p>
        </w:tc>
        <w:tc>
          <w:tcPr>
            <w:tcW w:w="2862" w:type="pct"/>
            <w:tcBorders>
              <w:top w:val="single" w:sz="4" w:space="0" w:color="auto"/>
              <w:left w:val="single" w:sz="4" w:space="0" w:color="auto"/>
              <w:bottom w:val="single" w:sz="4" w:space="0" w:color="auto"/>
              <w:right w:val="single" w:sz="4" w:space="0" w:color="auto"/>
            </w:tcBorders>
            <w:vAlign w:val="center"/>
            <w:hideMark/>
          </w:tcPr>
          <w:p w14:paraId="5CF4CBD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Did the business case include a section on piloting?</w:t>
            </w:r>
          </w:p>
        </w:tc>
        <w:tc>
          <w:tcPr>
            <w:tcW w:w="535" w:type="pct"/>
            <w:tcBorders>
              <w:top w:val="single" w:sz="4" w:space="0" w:color="auto"/>
              <w:left w:val="single" w:sz="4" w:space="0" w:color="auto"/>
              <w:bottom w:val="single" w:sz="4" w:space="0" w:color="auto"/>
              <w:right w:val="single" w:sz="4" w:space="0" w:color="auto"/>
            </w:tcBorders>
          </w:tcPr>
          <w:p w14:paraId="363D52CC" w14:textId="166ACD3C"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699E2576"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70D1EB32" w14:textId="77777777" w:rsidTr="00AF1710">
        <w:tc>
          <w:tcPr>
            <w:tcW w:w="513" w:type="pct"/>
            <w:tcBorders>
              <w:top w:val="single" w:sz="4" w:space="0" w:color="auto"/>
              <w:left w:val="single" w:sz="4" w:space="0" w:color="auto"/>
              <w:bottom w:val="single" w:sz="4" w:space="0" w:color="auto"/>
              <w:right w:val="single" w:sz="4" w:space="0" w:color="auto"/>
            </w:tcBorders>
          </w:tcPr>
          <w:p w14:paraId="4BAB4FB8"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3.7</w:t>
            </w:r>
          </w:p>
        </w:tc>
        <w:tc>
          <w:tcPr>
            <w:tcW w:w="2862" w:type="pct"/>
            <w:tcBorders>
              <w:top w:val="single" w:sz="4" w:space="0" w:color="auto"/>
              <w:left w:val="single" w:sz="4" w:space="0" w:color="auto"/>
              <w:bottom w:val="single" w:sz="4" w:space="0" w:color="auto"/>
              <w:right w:val="single" w:sz="4" w:space="0" w:color="auto"/>
            </w:tcBorders>
            <w:vAlign w:val="center"/>
            <w:hideMark/>
          </w:tcPr>
          <w:p w14:paraId="061E34D1"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Were pilots undertaken for new current spending proposals involving total expenditure of at least €20m over the proposed duration of the programme and a minimum annual expenditure of €5m?</w:t>
            </w:r>
          </w:p>
        </w:tc>
        <w:tc>
          <w:tcPr>
            <w:tcW w:w="535" w:type="pct"/>
            <w:tcBorders>
              <w:top w:val="single" w:sz="4" w:space="0" w:color="auto"/>
              <w:left w:val="single" w:sz="4" w:space="0" w:color="auto"/>
              <w:bottom w:val="single" w:sz="4" w:space="0" w:color="auto"/>
              <w:right w:val="single" w:sz="4" w:space="0" w:color="auto"/>
            </w:tcBorders>
          </w:tcPr>
          <w:p w14:paraId="4FDCE9C7" w14:textId="1A5038A9"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69014571"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4030CCAC" w14:textId="77777777" w:rsidTr="00AF1710">
        <w:tc>
          <w:tcPr>
            <w:tcW w:w="513" w:type="pct"/>
            <w:tcBorders>
              <w:top w:val="single" w:sz="4" w:space="0" w:color="auto"/>
              <w:left w:val="single" w:sz="4" w:space="0" w:color="auto"/>
              <w:bottom w:val="single" w:sz="4" w:space="0" w:color="auto"/>
              <w:right w:val="single" w:sz="4" w:space="0" w:color="auto"/>
            </w:tcBorders>
          </w:tcPr>
          <w:p w14:paraId="4038D3A0"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3.8</w:t>
            </w:r>
          </w:p>
        </w:tc>
        <w:tc>
          <w:tcPr>
            <w:tcW w:w="2862" w:type="pct"/>
            <w:tcBorders>
              <w:top w:val="single" w:sz="4" w:space="0" w:color="auto"/>
              <w:left w:val="single" w:sz="4" w:space="0" w:color="auto"/>
              <w:bottom w:val="single" w:sz="4" w:space="0" w:color="auto"/>
              <w:right w:val="single" w:sz="4" w:space="0" w:color="auto"/>
            </w:tcBorders>
            <w:vAlign w:val="center"/>
            <w:hideMark/>
          </w:tcPr>
          <w:p w14:paraId="5F1B81B5"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Have the methodology and data collection requirements for the pilot been agreed at the outset of the scheme?</w:t>
            </w:r>
          </w:p>
        </w:tc>
        <w:tc>
          <w:tcPr>
            <w:tcW w:w="535" w:type="pct"/>
            <w:tcBorders>
              <w:top w:val="single" w:sz="4" w:space="0" w:color="auto"/>
              <w:left w:val="single" w:sz="4" w:space="0" w:color="auto"/>
              <w:bottom w:val="single" w:sz="4" w:space="0" w:color="auto"/>
              <w:right w:val="single" w:sz="4" w:space="0" w:color="auto"/>
            </w:tcBorders>
          </w:tcPr>
          <w:p w14:paraId="3D4BDBC3" w14:textId="129A7846"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223AADF8"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279B4B92" w14:textId="77777777" w:rsidTr="00AF1710">
        <w:tc>
          <w:tcPr>
            <w:tcW w:w="513" w:type="pct"/>
            <w:tcBorders>
              <w:top w:val="single" w:sz="4" w:space="0" w:color="auto"/>
              <w:left w:val="single" w:sz="4" w:space="0" w:color="auto"/>
              <w:bottom w:val="single" w:sz="4" w:space="0" w:color="auto"/>
              <w:right w:val="single" w:sz="4" w:space="0" w:color="auto"/>
            </w:tcBorders>
          </w:tcPr>
          <w:p w14:paraId="2B28CA90"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3.9</w:t>
            </w:r>
          </w:p>
        </w:tc>
        <w:tc>
          <w:tcPr>
            <w:tcW w:w="2862" w:type="pct"/>
            <w:tcBorders>
              <w:top w:val="single" w:sz="4" w:space="0" w:color="auto"/>
              <w:left w:val="single" w:sz="4" w:space="0" w:color="auto"/>
              <w:bottom w:val="single" w:sz="4" w:space="0" w:color="auto"/>
              <w:right w:val="single" w:sz="4" w:space="0" w:color="auto"/>
            </w:tcBorders>
            <w:vAlign w:val="center"/>
            <w:hideMark/>
          </w:tcPr>
          <w:p w14:paraId="56EFB540"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the pilot formally evaluated and submitted for approval to the relevant Vote Section in DPER?</w:t>
            </w:r>
          </w:p>
        </w:tc>
        <w:tc>
          <w:tcPr>
            <w:tcW w:w="535" w:type="pct"/>
            <w:tcBorders>
              <w:top w:val="single" w:sz="4" w:space="0" w:color="auto"/>
              <w:left w:val="single" w:sz="4" w:space="0" w:color="auto"/>
              <w:bottom w:val="single" w:sz="4" w:space="0" w:color="auto"/>
              <w:right w:val="single" w:sz="4" w:space="0" w:color="auto"/>
            </w:tcBorders>
          </w:tcPr>
          <w:p w14:paraId="45094845" w14:textId="4B04D6D7"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102647C0"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5EC65388" w14:textId="77777777" w:rsidTr="00AF1710">
        <w:tc>
          <w:tcPr>
            <w:tcW w:w="513" w:type="pct"/>
            <w:tcBorders>
              <w:top w:val="single" w:sz="4" w:space="0" w:color="auto"/>
              <w:left w:val="single" w:sz="4" w:space="0" w:color="auto"/>
              <w:bottom w:val="single" w:sz="4" w:space="0" w:color="auto"/>
              <w:right w:val="single" w:sz="4" w:space="0" w:color="auto"/>
            </w:tcBorders>
          </w:tcPr>
          <w:p w14:paraId="0BAEEA12"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3.10</w:t>
            </w:r>
          </w:p>
        </w:tc>
        <w:tc>
          <w:tcPr>
            <w:tcW w:w="2862" w:type="pct"/>
            <w:tcBorders>
              <w:top w:val="single" w:sz="4" w:space="0" w:color="auto"/>
              <w:left w:val="single" w:sz="4" w:space="0" w:color="auto"/>
              <w:bottom w:val="single" w:sz="4" w:space="0" w:color="auto"/>
              <w:right w:val="single" w:sz="4" w:space="0" w:color="auto"/>
            </w:tcBorders>
            <w:vAlign w:val="center"/>
            <w:hideMark/>
          </w:tcPr>
          <w:p w14:paraId="505679B2"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Has an assessment of likely demand for the new scheme/scheme extension been estimated based on empirical evidence?</w:t>
            </w:r>
          </w:p>
        </w:tc>
        <w:tc>
          <w:tcPr>
            <w:tcW w:w="535" w:type="pct"/>
            <w:tcBorders>
              <w:top w:val="single" w:sz="4" w:space="0" w:color="auto"/>
              <w:left w:val="single" w:sz="4" w:space="0" w:color="auto"/>
              <w:bottom w:val="single" w:sz="4" w:space="0" w:color="auto"/>
              <w:right w:val="single" w:sz="4" w:space="0" w:color="auto"/>
            </w:tcBorders>
          </w:tcPr>
          <w:p w14:paraId="2087949B" w14:textId="13B2E5E7"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0C5CCA37" w14:textId="512A82B1"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53BA3B02" w14:textId="77777777" w:rsidTr="00AF1710">
        <w:tc>
          <w:tcPr>
            <w:tcW w:w="513" w:type="pct"/>
            <w:tcBorders>
              <w:top w:val="single" w:sz="4" w:space="0" w:color="auto"/>
              <w:left w:val="single" w:sz="4" w:space="0" w:color="auto"/>
              <w:bottom w:val="single" w:sz="4" w:space="0" w:color="auto"/>
              <w:right w:val="single" w:sz="4" w:space="0" w:color="auto"/>
            </w:tcBorders>
          </w:tcPr>
          <w:p w14:paraId="797F610B"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3.11</w:t>
            </w:r>
          </w:p>
        </w:tc>
        <w:tc>
          <w:tcPr>
            <w:tcW w:w="2862" w:type="pct"/>
            <w:tcBorders>
              <w:top w:val="single" w:sz="4" w:space="0" w:color="auto"/>
              <w:left w:val="single" w:sz="4" w:space="0" w:color="auto"/>
              <w:bottom w:val="single" w:sz="4" w:space="0" w:color="auto"/>
              <w:right w:val="single" w:sz="4" w:space="0" w:color="auto"/>
            </w:tcBorders>
            <w:vAlign w:val="center"/>
            <w:hideMark/>
          </w:tcPr>
          <w:p w14:paraId="26BADEA1"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the required approval granted?</w:t>
            </w:r>
          </w:p>
        </w:tc>
        <w:tc>
          <w:tcPr>
            <w:tcW w:w="535" w:type="pct"/>
            <w:tcBorders>
              <w:top w:val="single" w:sz="4" w:space="0" w:color="auto"/>
              <w:left w:val="single" w:sz="4" w:space="0" w:color="auto"/>
              <w:bottom w:val="single" w:sz="4" w:space="0" w:color="auto"/>
              <w:right w:val="single" w:sz="4" w:space="0" w:color="auto"/>
            </w:tcBorders>
          </w:tcPr>
          <w:p w14:paraId="69FB953C" w14:textId="66E4ADD8"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90" w:type="pct"/>
            <w:tcBorders>
              <w:top w:val="single" w:sz="4" w:space="0" w:color="auto"/>
              <w:left w:val="single" w:sz="4" w:space="0" w:color="auto"/>
              <w:bottom w:val="single" w:sz="4" w:space="0" w:color="auto"/>
              <w:right w:val="single" w:sz="4" w:space="0" w:color="auto"/>
            </w:tcBorders>
          </w:tcPr>
          <w:p w14:paraId="73991B53" w14:textId="6DEE26BC"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Departmental Circulars on Financial Supports.</w:t>
            </w:r>
          </w:p>
        </w:tc>
      </w:tr>
      <w:tr w:rsidR="009C2ABE" w:rsidRPr="00D07032" w14:paraId="719F1F0B" w14:textId="77777777" w:rsidTr="00AF1710">
        <w:tc>
          <w:tcPr>
            <w:tcW w:w="513" w:type="pct"/>
            <w:tcBorders>
              <w:top w:val="single" w:sz="4" w:space="0" w:color="auto"/>
              <w:left w:val="single" w:sz="4" w:space="0" w:color="auto"/>
              <w:bottom w:val="single" w:sz="4" w:space="0" w:color="auto"/>
              <w:right w:val="single" w:sz="4" w:space="0" w:color="auto"/>
            </w:tcBorders>
          </w:tcPr>
          <w:p w14:paraId="2A769F4F"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3.12</w:t>
            </w:r>
          </w:p>
        </w:tc>
        <w:tc>
          <w:tcPr>
            <w:tcW w:w="2862" w:type="pct"/>
            <w:tcBorders>
              <w:top w:val="single" w:sz="4" w:space="0" w:color="auto"/>
              <w:left w:val="single" w:sz="4" w:space="0" w:color="auto"/>
              <w:bottom w:val="single" w:sz="4" w:space="0" w:color="auto"/>
              <w:right w:val="single" w:sz="4" w:space="0" w:color="auto"/>
            </w:tcBorders>
            <w:vAlign w:val="center"/>
            <w:hideMark/>
          </w:tcPr>
          <w:p w14:paraId="23CA5C8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Has a sunset clause been set?</w:t>
            </w:r>
          </w:p>
        </w:tc>
        <w:tc>
          <w:tcPr>
            <w:tcW w:w="535" w:type="pct"/>
            <w:tcBorders>
              <w:top w:val="single" w:sz="4" w:space="0" w:color="auto"/>
              <w:left w:val="single" w:sz="4" w:space="0" w:color="auto"/>
              <w:bottom w:val="single" w:sz="4" w:space="0" w:color="auto"/>
              <w:right w:val="single" w:sz="4" w:space="0" w:color="auto"/>
            </w:tcBorders>
          </w:tcPr>
          <w:p w14:paraId="254CCE82" w14:textId="6450F062"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0E9B29CC"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6D26F65D" w14:textId="77777777" w:rsidTr="00AF1710">
        <w:tc>
          <w:tcPr>
            <w:tcW w:w="513" w:type="pct"/>
            <w:tcBorders>
              <w:top w:val="single" w:sz="4" w:space="0" w:color="auto"/>
              <w:left w:val="single" w:sz="4" w:space="0" w:color="auto"/>
              <w:bottom w:val="single" w:sz="4" w:space="0" w:color="auto"/>
              <w:right w:val="single" w:sz="4" w:space="0" w:color="auto"/>
            </w:tcBorders>
          </w:tcPr>
          <w:p w14:paraId="0076E216"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3.13</w:t>
            </w:r>
          </w:p>
        </w:tc>
        <w:tc>
          <w:tcPr>
            <w:tcW w:w="2862" w:type="pct"/>
            <w:tcBorders>
              <w:top w:val="single" w:sz="4" w:space="0" w:color="auto"/>
              <w:left w:val="single" w:sz="4" w:space="0" w:color="auto"/>
              <w:bottom w:val="single" w:sz="4" w:space="0" w:color="auto"/>
              <w:right w:val="single" w:sz="4" w:space="0" w:color="auto"/>
            </w:tcBorders>
            <w:vAlign w:val="center"/>
            <w:hideMark/>
          </w:tcPr>
          <w:p w14:paraId="6BCC077C"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If outsourcing was involved were both EU and National procurement rules complied with?</w:t>
            </w:r>
          </w:p>
        </w:tc>
        <w:tc>
          <w:tcPr>
            <w:tcW w:w="535" w:type="pct"/>
            <w:tcBorders>
              <w:top w:val="single" w:sz="4" w:space="0" w:color="auto"/>
              <w:left w:val="single" w:sz="4" w:space="0" w:color="auto"/>
              <w:bottom w:val="single" w:sz="4" w:space="0" w:color="auto"/>
              <w:right w:val="single" w:sz="4" w:space="0" w:color="auto"/>
            </w:tcBorders>
          </w:tcPr>
          <w:p w14:paraId="0D48014F" w14:textId="1022C3A2"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1E66E9E0"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084C817B" w14:textId="77777777" w:rsidTr="00AF1710">
        <w:tc>
          <w:tcPr>
            <w:tcW w:w="513" w:type="pct"/>
            <w:tcBorders>
              <w:top w:val="single" w:sz="4" w:space="0" w:color="auto"/>
              <w:left w:val="single" w:sz="4" w:space="0" w:color="auto"/>
              <w:bottom w:val="single" w:sz="4" w:space="0" w:color="auto"/>
              <w:right w:val="single" w:sz="4" w:space="0" w:color="auto"/>
            </w:tcBorders>
          </w:tcPr>
          <w:p w14:paraId="0AC62C46"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3.14</w:t>
            </w:r>
          </w:p>
        </w:tc>
        <w:tc>
          <w:tcPr>
            <w:tcW w:w="2862" w:type="pct"/>
            <w:tcBorders>
              <w:top w:val="single" w:sz="4" w:space="0" w:color="auto"/>
              <w:left w:val="single" w:sz="4" w:space="0" w:color="auto"/>
              <w:bottom w:val="single" w:sz="4" w:space="0" w:color="auto"/>
              <w:right w:val="single" w:sz="4" w:space="0" w:color="auto"/>
            </w:tcBorders>
            <w:vAlign w:val="center"/>
            <w:hideMark/>
          </w:tcPr>
          <w:p w14:paraId="6F9D2EDA"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 xml:space="preserve">Were performance indicators specified for each new current expenditure proposal or expansion of existing current expenditure programme which will allow for a robust evaluation </w:t>
            </w:r>
            <w:proofErr w:type="gramStart"/>
            <w:r w:rsidRPr="00D07032">
              <w:rPr>
                <w:rFonts w:ascii="Calibri" w:eastAsia="Calibri" w:hAnsi="Calibri" w:cs="Arial"/>
                <w:sz w:val="20"/>
                <w:lang w:val="en-IE" w:eastAsia="en-US"/>
              </w:rPr>
              <w:t>at a later date</w:t>
            </w:r>
            <w:proofErr w:type="gramEnd"/>
            <w:r w:rsidRPr="00D07032">
              <w:rPr>
                <w:rFonts w:ascii="Calibri" w:eastAsia="Calibri" w:hAnsi="Calibri" w:cs="Arial"/>
                <w:sz w:val="20"/>
                <w:lang w:val="en-IE" w:eastAsia="en-US"/>
              </w:rPr>
              <w:t>?</w:t>
            </w:r>
          </w:p>
        </w:tc>
        <w:tc>
          <w:tcPr>
            <w:tcW w:w="535" w:type="pct"/>
            <w:tcBorders>
              <w:top w:val="single" w:sz="4" w:space="0" w:color="auto"/>
              <w:left w:val="single" w:sz="4" w:space="0" w:color="auto"/>
              <w:bottom w:val="single" w:sz="4" w:space="0" w:color="auto"/>
              <w:right w:val="single" w:sz="4" w:space="0" w:color="auto"/>
            </w:tcBorders>
          </w:tcPr>
          <w:p w14:paraId="7C1B4E96" w14:textId="20B7E423"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3EA2D830" w14:textId="77777777" w:rsidR="009C2ABE" w:rsidRPr="009C2ABE" w:rsidRDefault="009C2ABE" w:rsidP="00560407">
            <w:pPr>
              <w:rPr>
                <w:rFonts w:asciiTheme="minorHAnsi" w:eastAsia="Calibri" w:hAnsiTheme="minorHAnsi" w:cstheme="minorHAnsi"/>
                <w:sz w:val="20"/>
                <w:lang w:val="en-IE" w:eastAsia="en-US"/>
              </w:rPr>
            </w:pPr>
          </w:p>
        </w:tc>
      </w:tr>
      <w:tr w:rsidR="009C2ABE" w:rsidRPr="00D07032" w14:paraId="228BC5E0" w14:textId="77777777" w:rsidTr="00AF1710">
        <w:trPr>
          <w:trHeight w:val="731"/>
        </w:trPr>
        <w:tc>
          <w:tcPr>
            <w:tcW w:w="513" w:type="pct"/>
            <w:tcBorders>
              <w:top w:val="single" w:sz="4" w:space="0" w:color="auto"/>
              <w:left w:val="single" w:sz="4" w:space="0" w:color="auto"/>
              <w:bottom w:val="single" w:sz="4" w:space="0" w:color="auto"/>
              <w:right w:val="single" w:sz="4" w:space="0" w:color="auto"/>
            </w:tcBorders>
          </w:tcPr>
          <w:p w14:paraId="7A100F91"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3.15</w:t>
            </w:r>
          </w:p>
        </w:tc>
        <w:tc>
          <w:tcPr>
            <w:tcW w:w="2862" w:type="pct"/>
            <w:tcBorders>
              <w:top w:val="single" w:sz="4" w:space="0" w:color="auto"/>
              <w:left w:val="single" w:sz="4" w:space="0" w:color="auto"/>
              <w:bottom w:val="single" w:sz="4" w:space="0" w:color="auto"/>
              <w:right w:val="single" w:sz="4" w:space="0" w:color="auto"/>
            </w:tcBorders>
            <w:vAlign w:val="center"/>
            <w:hideMark/>
          </w:tcPr>
          <w:p w14:paraId="55321D3E"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Have steps been put in place to gather performance indicator data?</w:t>
            </w:r>
          </w:p>
        </w:tc>
        <w:tc>
          <w:tcPr>
            <w:tcW w:w="535" w:type="pct"/>
            <w:tcBorders>
              <w:top w:val="single" w:sz="4" w:space="0" w:color="auto"/>
              <w:left w:val="single" w:sz="4" w:space="0" w:color="auto"/>
              <w:bottom w:val="single" w:sz="4" w:space="0" w:color="auto"/>
              <w:right w:val="single" w:sz="4" w:space="0" w:color="auto"/>
            </w:tcBorders>
          </w:tcPr>
          <w:p w14:paraId="7E98BF31" w14:textId="49B7D4BA"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90" w:type="pct"/>
            <w:tcBorders>
              <w:top w:val="single" w:sz="4" w:space="0" w:color="auto"/>
              <w:left w:val="single" w:sz="4" w:space="0" w:color="auto"/>
              <w:bottom w:val="single" w:sz="4" w:space="0" w:color="auto"/>
              <w:right w:val="single" w:sz="4" w:space="0" w:color="auto"/>
            </w:tcBorders>
          </w:tcPr>
          <w:p w14:paraId="44EBBBAD" w14:textId="77777777" w:rsidR="009C2ABE" w:rsidRPr="009C2ABE" w:rsidRDefault="009C2ABE" w:rsidP="00560407">
            <w:pPr>
              <w:rPr>
                <w:rFonts w:asciiTheme="minorHAnsi" w:eastAsia="Calibri" w:hAnsiTheme="minorHAnsi" w:cstheme="minorHAnsi"/>
                <w:sz w:val="20"/>
                <w:lang w:val="en-IE" w:eastAsia="en-US"/>
              </w:rPr>
            </w:pPr>
          </w:p>
        </w:tc>
      </w:tr>
    </w:tbl>
    <w:p w14:paraId="24627C72" w14:textId="77777777" w:rsidR="00D07032" w:rsidRDefault="00D07032" w:rsidP="00D07032">
      <w:pPr>
        <w:spacing w:after="200" w:line="360" w:lineRule="auto"/>
        <w:jc w:val="both"/>
        <w:rPr>
          <w:rFonts w:asciiTheme="minorHAnsi" w:eastAsia="Calibri" w:hAnsiTheme="minorHAnsi" w:cs="Tahoma"/>
          <w:b/>
          <w:sz w:val="22"/>
          <w:szCs w:val="22"/>
          <w:lang w:val="en-IE" w:eastAsia="en-US"/>
        </w:rPr>
      </w:pPr>
    </w:p>
    <w:p w14:paraId="7FC7CA05"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0238BAD4"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79103FA9"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3613986A"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0D91060F" w14:textId="77777777" w:rsidR="00560407" w:rsidRPr="00D07032" w:rsidRDefault="00560407" w:rsidP="00D07032">
      <w:pPr>
        <w:spacing w:after="200" w:line="360" w:lineRule="auto"/>
        <w:jc w:val="both"/>
        <w:rPr>
          <w:rFonts w:asciiTheme="minorHAnsi" w:eastAsia="Calibri" w:hAnsiTheme="minorHAnsi" w:cs="Tahoma"/>
          <w:b/>
          <w:sz w:val="22"/>
          <w:szCs w:val="22"/>
          <w:lang w:val="en-IE" w:eastAsia="en-US"/>
        </w:rPr>
      </w:pPr>
    </w:p>
    <w:p w14:paraId="714CF3D5" w14:textId="77777777" w:rsidR="00D07032" w:rsidRPr="00D07032" w:rsidRDefault="00D07032" w:rsidP="00D07032">
      <w:pPr>
        <w:spacing w:after="200" w:line="360" w:lineRule="auto"/>
        <w:jc w:val="both"/>
        <w:rPr>
          <w:rFonts w:asciiTheme="minorHAnsi" w:eastAsia="Calibri" w:hAnsiTheme="minorHAnsi" w:cs="Tahoma"/>
          <w:b/>
          <w:sz w:val="22"/>
          <w:szCs w:val="22"/>
          <w:lang w:val="en-IE" w:eastAsia="en-US"/>
        </w:rPr>
      </w:pPr>
      <w:r w:rsidRPr="00D07032">
        <w:rPr>
          <w:rFonts w:asciiTheme="minorHAnsi" w:eastAsia="Calibri" w:hAnsiTheme="minorHAnsi" w:cs="Tahoma"/>
          <w:b/>
          <w:sz w:val="22"/>
          <w:szCs w:val="22"/>
          <w:lang w:val="en-IE" w:eastAsia="en-US"/>
        </w:rPr>
        <w:lastRenderedPageBreak/>
        <w:t>Checklist 4 – To be completed in respect of capital projects/programmes &amp; capital grants schemes incurring expenditure in the year under review.</w:t>
      </w:r>
    </w:p>
    <w:tbl>
      <w:tblPr>
        <w:tblW w:w="613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6243"/>
        <w:gridCol w:w="1019"/>
        <w:gridCol w:w="2164"/>
      </w:tblGrid>
      <w:tr w:rsidR="00D07032" w:rsidRPr="00D07032" w14:paraId="31A03C42" w14:textId="77777777" w:rsidTr="00AF1710">
        <w:trPr>
          <w:cantSplit/>
          <w:trHeight w:val="1379"/>
        </w:trPr>
        <w:tc>
          <w:tcPr>
            <w:tcW w:w="374" w:type="pct"/>
            <w:tcBorders>
              <w:top w:val="single" w:sz="4" w:space="0" w:color="auto"/>
              <w:left w:val="single" w:sz="4" w:space="0" w:color="auto"/>
              <w:bottom w:val="single" w:sz="4" w:space="0" w:color="auto"/>
              <w:right w:val="single" w:sz="4" w:space="0" w:color="auto"/>
            </w:tcBorders>
            <w:shd w:val="clear" w:color="auto" w:fill="E6E6E6"/>
          </w:tcPr>
          <w:p w14:paraId="30332B17" w14:textId="77777777" w:rsidR="00D07032" w:rsidRPr="00D07032" w:rsidRDefault="00D07032" w:rsidP="00D07032">
            <w:pPr>
              <w:spacing w:after="200" w:line="360" w:lineRule="auto"/>
              <w:jc w:val="both"/>
              <w:rPr>
                <w:rFonts w:ascii="Calibri" w:eastAsia="Calibri" w:hAnsi="Calibri" w:cs="Arial"/>
                <w:b/>
                <w:sz w:val="20"/>
                <w:lang w:val="en-IE" w:eastAsia="en-US"/>
              </w:rPr>
            </w:pPr>
          </w:p>
        </w:tc>
        <w:tc>
          <w:tcPr>
            <w:tcW w:w="3064" w:type="pct"/>
            <w:tcBorders>
              <w:top w:val="single" w:sz="4" w:space="0" w:color="auto"/>
              <w:left w:val="single" w:sz="4" w:space="0" w:color="auto"/>
              <w:bottom w:val="single" w:sz="4" w:space="0" w:color="auto"/>
              <w:right w:val="single" w:sz="4" w:space="0" w:color="auto"/>
            </w:tcBorders>
            <w:shd w:val="clear" w:color="auto" w:fill="E6E6E6"/>
          </w:tcPr>
          <w:p w14:paraId="3608DCCF"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0D0BC7AB"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 xml:space="preserve">Incurring Capital Expenditure </w:t>
            </w:r>
          </w:p>
        </w:tc>
        <w:tc>
          <w:tcPr>
            <w:tcW w:w="500"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17F7B621" w14:textId="77777777" w:rsidR="00D07032" w:rsidRPr="00D07032" w:rsidRDefault="00D07032" w:rsidP="00D07032">
            <w:pPr>
              <w:spacing w:after="200" w:line="256" w:lineRule="auto"/>
              <w:ind w:left="113" w:right="113"/>
              <w:jc w:val="both"/>
              <w:rPr>
                <w:rFonts w:ascii="Calibri" w:eastAsia="Calibri" w:hAnsi="Calibri" w:cs="Arial"/>
                <w:b/>
                <w:sz w:val="20"/>
                <w:lang w:val="en-IE" w:eastAsia="en-US"/>
              </w:rPr>
            </w:pPr>
            <w:r w:rsidRPr="00D07032">
              <w:rPr>
                <w:rFonts w:ascii="Calibri" w:eastAsia="Calibri" w:hAnsi="Calibri" w:cs="Arial"/>
                <w:b/>
                <w:sz w:val="20"/>
                <w:lang w:val="en-IE" w:eastAsia="en-US"/>
              </w:rPr>
              <w:t>Self-Assessed Compliance Rating: 1 - 3</w:t>
            </w:r>
          </w:p>
        </w:tc>
        <w:tc>
          <w:tcPr>
            <w:tcW w:w="1062" w:type="pct"/>
            <w:tcBorders>
              <w:top w:val="single" w:sz="4" w:space="0" w:color="auto"/>
              <w:left w:val="single" w:sz="4" w:space="0" w:color="auto"/>
              <w:bottom w:val="single" w:sz="4" w:space="0" w:color="auto"/>
              <w:right w:val="single" w:sz="4" w:space="0" w:color="auto"/>
            </w:tcBorders>
            <w:shd w:val="clear" w:color="auto" w:fill="E6E6E6"/>
            <w:hideMark/>
          </w:tcPr>
          <w:p w14:paraId="1512BCA6"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0ADBE9AD"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9C2ABE" w:rsidRPr="00D07032" w14:paraId="7AB97750" w14:textId="77777777" w:rsidTr="00AF1710">
        <w:trPr>
          <w:trHeight w:val="274"/>
        </w:trPr>
        <w:tc>
          <w:tcPr>
            <w:tcW w:w="374" w:type="pct"/>
            <w:tcBorders>
              <w:top w:val="single" w:sz="4" w:space="0" w:color="auto"/>
              <w:left w:val="single" w:sz="4" w:space="0" w:color="auto"/>
              <w:bottom w:val="single" w:sz="4" w:space="0" w:color="auto"/>
              <w:right w:val="single" w:sz="4" w:space="0" w:color="auto"/>
            </w:tcBorders>
          </w:tcPr>
          <w:p w14:paraId="6B348278"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4.1</w:t>
            </w:r>
          </w:p>
        </w:tc>
        <w:tc>
          <w:tcPr>
            <w:tcW w:w="3064" w:type="pct"/>
            <w:tcBorders>
              <w:top w:val="single" w:sz="4" w:space="0" w:color="auto"/>
              <w:left w:val="single" w:sz="4" w:space="0" w:color="auto"/>
              <w:bottom w:val="single" w:sz="4" w:space="0" w:color="auto"/>
              <w:right w:val="single" w:sz="4" w:space="0" w:color="auto"/>
            </w:tcBorders>
            <w:vAlign w:val="center"/>
            <w:hideMark/>
          </w:tcPr>
          <w:p w14:paraId="587E3545"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Was a contract signed and was it in line with the Approval given at each Decision Gate?</w:t>
            </w:r>
          </w:p>
        </w:tc>
        <w:tc>
          <w:tcPr>
            <w:tcW w:w="500" w:type="pct"/>
            <w:tcBorders>
              <w:top w:val="single" w:sz="4" w:space="0" w:color="auto"/>
              <w:left w:val="single" w:sz="4" w:space="0" w:color="auto"/>
              <w:bottom w:val="single" w:sz="4" w:space="0" w:color="auto"/>
              <w:right w:val="single" w:sz="4" w:space="0" w:color="auto"/>
            </w:tcBorders>
          </w:tcPr>
          <w:p w14:paraId="7CCE85AF" w14:textId="70414B1D"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62" w:type="pct"/>
            <w:tcBorders>
              <w:top w:val="single" w:sz="4" w:space="0" w:color="auto"/>
              <w:left w:val="single" w:sz="4" w:space="0" w:color="auto"/>
              <w:bottom w:val="single" w:sz="4" w:space="0" w:color="auto"/>
              <w:right w:val="single" w:sz="4" w:space="0" w:color="auto"/>
            </w:tcBorders>
          </w:tcPr>
          <w:p w14:paraId="19EB80D0" w14:textId="13EB90D9"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Agreed with Funding Dept. Received Council approved</w:t>
            </w:r>
          </w:p>
        </w:tc>
      </w:tr>
      <w:tr w:rsidR="009C2ABE" w:rsidRPr="00D07032" w14:paraId="6795975A" w14:textId="77777777" w:rsidTr="00AF1710">
        <w:trPr>
          <w:trHeight w:val="70"/>
        </w:trPr>
        <w:tc>
          <w:tcPr>
            <w:tcW w:w="374" w:type="pct"/>
            <w:tcBorders>
              <w:top w:val="single" w:sz="4" w:space="0" w:color="auto"/>
              <w:left w:val="single" w:sz="4" w:space="0" w:color="auto"/>
              <w:bottom w:val="single" w:sz="4" w:space="0" w:color="auto"/>
              <w:right w:val="single" w:sz="4" w:space="0" w:color="auto"/>
            </w:tcBorders>
          </w:tcPr>
          <w:p w14:paraId="38232A67"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4.2</w:t>
            </w:r>
          </w:p>
        </w:tc>
        <w:tc>
          <w:tcPr>
            <w:tcW w:w="3064" w:type="pct"/>
            <w:tcBorders>
              <w:top w:val="single" w:sz="4" w:space="0" w:color="auto"/>
              <w:left w:val="single" w:sz="4" w:space="0" w:color="auto"/>
              <w:bottom w:val="single" w:sz="4" w:space="0" w:color="auto"/>
              <w:right w:val="single" w:sz="4" w:space="0" w:color="auto"/>
            </w:tcBorders>
            <w:vAlign w:val="center"/>
            <w:hideMark/>
          </w:tcPr>
          <w:p w14:paraId="381E9273"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Did management boards/steering committees meet regularly as agreed?</w:t>
            </w:r>
          </w:p>
        </w:tc>
        <w:tc>
          <w:tcPr>
            <w:tcW w:w="500" w:type="pct"/>
            <w:tcBorders>
              <w:top w:val="single" w:sz="4" w:space="0" w:color="auto"/>
              <w:left w:val="single" w:sz="4" w:space="0" w:color="auto"/>
              <w:bottom w:val="single" w:sz="4" w:space="0" w:color="auto"/>
              <w:right w:val="single" w:sz="4" w:space="0" w:color="auto"/>
            </w:tcBorders>
          </w:tcPr>
          <w:p w14:paraId="07E5283D" w14:textId="4F208B4E"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7D455332" w14:textId="2E8D0B33"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Regular Meetings were held</w:t>
            </w:r>
          </w:p>
        </w:tc>
      </w:tr>
      <w:tr w:rsidR="009C2ABE" w:rsidRPr="00D07032" w14:paraId="6615094E" w14:textId="77777777" w:rsidTr="00AF1710">
        <w:tc>
          <w:tcPr>
            <w:tcW w:w="374" w:type="pct"/>
            <w:tcBorders>
              <w:top w:val="single" w:sz="4" w:space="0" w:color="auto"/>
              <w:left w:val="single" w:sz="4" w:space="0" w:color="auto"/>
              <w:bottom w:val="single" w:sz="4" w:space="0" w:color="auto"/>
              <w:right w:val="single" w:sz="4" w:space="0" w:color="auto"/>
            </w:tcBorders>
          </w:tcPr>
          <w:p w14:paraId="70DC5100"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4.3</w:t>
            </w:r>
          </w:p>
        </w:tc>
        <w:tc>
          <w:tcPr>
            <w:tcW w:w="3064" w:type="pct"/>
            <w:tcBorders>
              <w:top w:val="single" w:sz="4" w:space="0" w:color="auto"/>
              <w:left w:val="single" w:sz="4" w:space="0" w:color="auto"/>
              <w:bottom w:val="single" w:sz="4" w:space="0" w:color="auto"/>
              <w:right w:val="single" w:sz="4" w:space="0" w:color="auto"/>
            </w:tcBorders>
            <w:vAlign w:val="center"/>
            <w:hideMark/>
          </w:tcPr>
          <w:p w14:paraId="4F1C7020"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Were programme co-ordinators appointed to co-ordinate implementation?</w:t>
            </w:r>
          </w:p>
        </w:tc>
        <w:tc>
          <w:tcPr>
            <w:tcW w:w="500" w:type="pct"/>
            <w:tcBorders>
              <w:top w:val="single" w:sz="4" w:space="0" w:color="auto"/>
              <w:left w:val="single" w:sz="4" w:space="0" w:color="auto"/>
              <w:bottom w:val="single" w:sz="4" w:space="0" w:color="auto"/>
              <w:right w:val="single" w:sz="4" w:space="0" w:color="auto"/>
            </w:tcBorders>
          </w:tcPr>
          <w:p w14:paraId="110650AC" w14:textId="73F37186"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62" w:type="pct"/>
            <w:tcBorders>
              <w:top w:val="single" w:sz="4" w:space="0" w:color="auto"/>
              <w:left w:val="single" w:sz="4" w:space="0" w:color="auto"/>
              <w:bottom w:val="single" w:sz="4" w:space="0" w:color="auto"/>
              <w:right w:val="single" w:sz="4" w:space="0" w:color="auto"/>
            </w:tcBorders>
          </w:tcPr>
          <w:p w14:paraId="3A51902E" w14:textId="5D572541"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Yes – Senior Staff Member appointed</w:t>
            </w:r>
          </w:p>
        </w:tc>
      </w:tr>
      <w:tr w:rsidR="009C2ABE" w:rsidRPr="00D07032" w14:paraId="3A6F6DE8" w14:textId="77777777" w:rsidTr="00AF1710">
        <w:tc>
          <w:tcPr>
            <w:tcW w:w="374" w:type="pct"/>
            <w:tcBorders>
              <w:top w:val="single" w:sz="4" w:space="0" w:color="auto"/>
              <w:left w:val="single" w:sz="4" w:space="0" w:color="auto"/>
              <w:bottom w:val="single" w:sz="4" w:space="0" w:color="auto"/>
              <w:right w:val="single" w:sz="4" w:space="0" w:color="auto"/>
            </w:tcBorders>
          </w:tcPr>
          <w:p w14:paraId="5012D1F2"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4.4</w:t>
            </w:r>
          </w:p>
        </w:tc>
        <w:tc>
          <w:tcPr>
            <w:tcW w:w="3064" w:type="pct"/>
            <w:tcBorders>
              <w:top w:val="single" w:sz="4" w:space="0" w:color="auto"/>
              <w:left w:val="single" w:sz="4" w:space="0" w:color="auto"/>
              <w:bottom w:val="single" w:sz="4" w:space="0" w:color="auto"/>
              <w:right w:val="single" w:sz="4" w:space="0" w:color="auto"/>
            </w:tcBorders>
            <w:vAlign w:val="center"/>
            <w:hideMark/>
          </w:tcPr>
          <w:p w14:paraId="7D0D1E3B"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Were project managers, responsible for delivery, appointed and were the project managers at a suitably senior level for the scale of the project?</w:t>
            </w:r>
          </w:p>
        </w:tc>
        <w:tc>
          <w:tcPr>
            <w:tcW w:w="500" w:type="pct"/>
            <w:tcBorders>
              <w:top w:val="single" w:sz="4" w:space="0" w:color="auto"/>
              <w:left w:val="single" w:sz="4" w:space="0" w:color="auto"/>
              <w:bottom w:val="single" w:sz="4" w:space="0" w:color="auto"/>
              <w:right w:val="single" w:sz="4" w:space="0" w:color="auto"/>
            </w:tcBorders>
          </w:tcPr>
          <w:p w14:paraId="7B4DBE28" w14:textId="733D06F3"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3</w:t>
            </w:r>
          </w:p>
        </w:tc>
        <w:tc>
          <w:tcPr>
            <w:tcW w:w="1062" w:type="pct"/>
            <w:tcBorders>
              <w:top w:val="single" w:sz="4" w:space="0" w:color="auto"/>
              <w:left w:val="single" w:sz="4" w:space="0" w:color="auto"/>
              <w:bottom w:val="single" w:sz="4" w:space="0" w:color="auto"/>
              <w:right w:val="single" w:sz="4" w:space="0" w:color="auto"/>
            </w:tcBorders>
          </w:tcPr>
          <w:p w14:paraId="70850721" w14:textId="07409E67"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Yes – Senior Staff Member appointed</w:t>
            </w:r>
          </w:p>
        </w:tc>
      </w:tr>
      <w:tr w:rsidR="009C2ABE" w:rsidRPr="00D07032" w14:paraId="33F474D4" w14:textId="77777777" w:rsidTr="00AF1710">
        <w:tc>
          <w:tcPr>
            <w:tcW w:w="374" w:type="pct"/>
            <w:tcBorders>
              <w:top w:val="single" w:sz="4" w:space="0" w:color="auto"/>
              <w:left w:val="single" w:sz="4" w:space="0" w:color="auto"/>
              <w:bottom w:val="single" w:sz="4" w:space="0" w:color="auto"/>
              <w:right w:val="single" w:sz="4" w:space="0" w:color="auto"/>
            </w:tcBorders>
          </w:tcPr>
          <w:p w14:paraId="5FD82CEE" w14:textId="77777777" w:rsidR="009C2ABE" w:rsidRPr="00D07032" w:rsidRDefault="009C2ABE" w:rsidP="00560407">
            <w:pPr>
              <w:rPr>
                <w:rFonts w:ascii="Calibri" w:eastAsia="Calibri" w:hAnsi="Calibri" w:cs="Arial"/>
                <w:sz w:val="20"/>
                <w:lang w:val="en-IE" w:eastAsia="en-US"/>
              </w:rPr>
            </w:pPr>
            <w:r w:rsidRPr="00D07032">
              <w:rPr>
                <w:rFonts w:ascii="Calibri" w:eastAsia="Calibri" w:hAnsi="Calibri" w:cs="Arial"/>
                <w:sz w:val="20"/>
                <w:lang w:val="en-IE" w:eastAsia="en-US"/>
              </w:rPr>
              <w:t>Q 4.5</w:t>
            </w:r>
          </w:p>
        </w:tc>
        <w:tc>
          <w:tcPr>
            <w:tcW w:w="3064" w:type="pct"/>
            <w:tcBorders>
              <w:top w:val="single" w:sz="4" w:space="0" w:color="auto"/>
              <w:left w:val="single" w:sz="4" w:space="0" w:color="auto"/>
              <w:bottom w:val="single" w:sz="4" w:space="0" w:color="auto"/>
              <w:right w:val="single" w:sz="4" w:space="0" w:color="auto"/>
            </w:tcBorders>
            <w:vAlign w:val="center"/>
            <w:hideMark/>
          </w:tcPr>
          <w:p w14:paraId="03408387" w14:textId="77777777" w:rsidR="009C2ABE" w:rsidRPr="00D07032" w:rsidRDefault="009C2ABE" w:rsidP="00560407">
            <w:pPr>
              <w:rPr>
                <w:rFonts w:ascii="Calibri" w:eastAsia="Calibri" w:hAnsi="Calibri" w:cs="Arial"/>
                <w:sz w:val="20"/>
                <w:lang w:val="en-IE" w:eastAsia="en-US"/>
              </w:rPr>
            </w:pPr>
            <w:proofErr w:type="spellStart"/>
            <w:r w:rsidRPr="00D07032">
              <w:rPr>
                <w:rFonts w:ascii="Calibri" w:eastAsia="Calibri" w:hAnsi="Calibri" w:cs="Arial"/>
                <w:sz w:val="20"/>
                <w:lang w:val="en-IE" w:eastAsia="en-US"/>
              </w:rPr>
              <w:t>Were</w:t>
            </w:r>
            <w:proofErr w:type="spellEnd"/>
            <w:r w:rsidRPr="00D07032">
              <w:rPr>
                <w:rFonts w:ascii="Calibri" w:eastAsia="Calibri" w:hAnsi="Calibri" w:cs="Arial"/>
                <w:sz w:val="20"/>
                <w:lang w:val="en-IE" w:eastAsia="en-US"/>
              </w:rPr>
              <w:t xml:space="preserve"> monitoring reports prepared regularly, showing implementation against plan, budget, </w:t>
            </w:r>
            <w:proofErr w:type="gramStart"/>
            <w:r w:rsidRPr="00D07032">
              <w:rPr>
                <w:rFonts w:ascii="Calibri" w:eastAsia="Calibri" w:hAnsi="Calibri" w:cs="Arial"/>
                <w:sz w:val="20"/>
                <w:lang w:val="en-IE" w:eastAsia="en-US"/>
              </w:rPr>
              <w:t>timescales</w:t>
            </w:r>
            <w:proofErr w:type="gramEnd"/>
            <w:r w:rsidRPr="00D07032">
              <w:rPr>
                <w:rFonts w:ascii="Calibri" w:eastAsia="Calibri" w:hAnsi="Calibri" w:cs="Arial"/>
                <w:sz w:val="20"/>
                <w:lang w:val="en-IE" w:eastAsia="en-US"/>
              </w:rPr>
              <w:t xml:space="preserve"> and quality?</w:t>
            </w:r>
          </w:p>
        </w:tc>
        <w:tc>
          <w:tcPr>
            <w:tcW w:w="500" w:type="pct"/>
            <w:tcBorders>
              <w:top w:val="single" w:sz="4" w:space="0" w:color="auto"/>
              <w:left w:val="single" w:sz="4" w:space="0" w:color="auto"/>
              <w:bottom w:val="single" w:sz="4" w:space="0" w:color="auto"/>
              <w:right w:val="single" w:sz="4" w:space="0" w:color="auto"/>
            </w:tcBorders>
          </w:tcPr>
          <w:p w14:paraId="5D027615" w14:textId="55098E4A" w:rsidR="009C2ABE" w:rsidRPr="00F21B37" w:rsidRDefault="009C2ABE" w:rsidP="00560407">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4278EBA2" w14:textId="6AA4818D" w:rsidR="009C2ABE" w:rsidRPr="009C2ABE" w:rsidRDefault="009C2ABE" w:rsidP="00560407">
            <w:pPr>
              <w:rPr>
                <w:rFonts w:asciiTheme="minorHAnsi" w:eastAsia="Calibri" w:hAnsiTheme="minorHAnsi" w:cstheme="minorHAnsi"/>
                <w:sz w:val="20"/>
                <w:lang w:val="en-IE" w:eastAsia="en-US"/>
              </w:rPr>
            </w:pPr>
            <w:r w:rsidRPr="009C2ABE">
              <w:rPr>
                <w:rFonts w:asciiTheme="minorHAnsi" w:hAnsiTheme="minorHAnsi" w:cstheme="minorHAnsi"/>
                <w:sz w:val="20"/>
              </w:rPr>
              <w:t>Yes – Regular Projects Reports prepared</w:t>
            </w:r>
          </w:p>
        </w:tc>
      </w:tr>
      <w:tr w:rsidR="0079419C" w:rsidRPr="00D07032" w14:paraId="3DDE426F" w14:textId="77777777" w:rsidTr="00AF1710">
        <w:tc>
          <w:tcPr>
            <w:tcW w:w="374" w:type="pct"/>
            <w:tcBorders>
              <w:top w:val="single" w:sz="4" w:space="0" w:color="auto"/>
              <w:left w:val="single" w:sz="4" w:space="0" w:color="auto"/>
              <w:bottom w:val="single" w:sz="4" w:space="0" w:color="auto"/>
              <w:right w:val="single" w:sz="4" w:space="0" w:color="auto"/>
            </w:tcBorders>
          </w:tcPr>
          <w:p w14:paraId="4432ADBA"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4.6</w:t>
            </w:r>
          </w:p>
        </w:tc>
        <w:tc>
          <w:tcPr>
            <w:tcW w:w="3064" w:type="pct"/>
            <w:tcBorders>
              <w:top w:val="single" w:sz="4" w:space="0" w:color="auto"/>
              <w:left w:val="single" w:sz="4" w:space="0" w:color="auto"/>
              <w:bottom w:val="single" w:sz="4" w:space="0" w:color="auto"/>
              <w:right w:val="single" w:sz="4" w:space="0" w:color="auto"/>
            </w:tcBorders>
            <w:vAlign w:val="center"/>
            <w:hideMark/>
          </w:tcPr>
          <w:p w14:paraId="673F81B3"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Did projects/programmes/grant schemes keep within their financial budget and time schedule?</w:t>
            </w:r>
          </w:p>
        </w:tc>
        <w:tc>
          <w:tcPr>
            <w:tcW w:w="500" w:type="pct"/>
            <w:tcBorders>
              <w:top w:val="single" w:sz="4" w:space="0" w:color="auto"/>
              <w:left w:val="single" w:sz="4" w:space="0" w:color="auto"/>
              <w:bottom w:val="single" w:sz="4" w:space="0" w:color="auto"/>
              <w:right w:val="single" w:sz="4" w:space="0" w:color="auto"/>
            </w:tcBorders>
          </w:tcPr>
          <w:p w14:paraId="0A5F94A9" w14:textId="440AE1CD" w:rsidR="0079419C" w:rsidRPr="00F21B37" w:rsidRDefault="0079419C" w:rsidP="0079419C">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0FD6C8B3" w14:textId="5DCC31DF" w:rsidR="0079419C" w:rsidRPr="0079419C" w:rsidRDefault="0079419C" w:rsidP="0079419C">
            <w:pPr>
              <w:rPr>
                <w:rFonts w:asciiTheme="minorHAnsi" w:eastAsia="Calibri" w:hAnsiTheme="minorHAnsi" w:cstheme="minorHAnsi"/>
                <w:sz w:val="20"/>
                <w:lang w:val="en-IE" w:eastAsia="en-US"/>
              </w:rPr>
            </w:pPr>
            <w:r w:rsidRPr="0079419C">
              <w:rPr>
                <w:rFonts w:asciiTheme="minorHAnsi" w:hAnsiTheme="minorHAnsi" w:cstheme="minorHAnsi"/>
                <w:sz w:val="20"/>
              </w:rPr>
              <w:t>No, inflation /supply chain delay led to overruns</w:t>
            </w:r>
          </w:p>
        </w:tc>
      </w:tr>
      <w:tr w:rsidR="0079419C" w:rsidRPr="00D07032" w14:paraId="6523439E" w14:textId="77777777" w:rsidTr="00AF1710">
        <w:tc>
          <w:tcPr>
            <w:tcW w:w="374" w:type="pct"/>
            <w:tcBorders>
              <w:top w:val="single" w:sz="4" w:space="0" w:color="auto"/>
              <w:left w:val="single" w:sz="4" w:space="0" w:color="auto"/>
              <w:bottom w:val="single" w:sz="4" w:space="0" w:color="auto"/>
              <w:right w:val="single" w:sz="4" w:space="0" w:color="auto"/>
            </w:tcBorders>
          </w:tcPr>
          <w:p w14:paraId="12A77A23"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4.7</w:t>
            </w:r>
          </w:p>
        </w:tc>
        <w:tc>
          <w:tcPr>
            <w:tcW w:w="3064" w:type="pct"/>
            <w:tcBorders>
              <w:top w:val="single" w:sz="4" w:space="0" w:color="auto"/>
              <w:left w:val="single" w:sz="4" w:space="0" w:color="auto"/>
              <w:bottom w:val="single" w:sz="4" w:space="0" w:color="auto"/>
              <w:right w:val="single" w:sz="4" w:space="0" w:color="auto"/>
            </w:tcBorders>
            <w:vAlign w:val="center"/>
            <w:hideMark/>
          </w:tcPr>
          <w:p w14:paraId="3E055413"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 xml:space="preserve">Did budgets have to be adjusted? </w:t>
            </w:r>
          </w:p>
        </w:tc>
        <w:tc>
          <w:tcPr>
            <w:tcW w:w="500" w:type="pct"/>
            <w:tcBorders>
              <w:top w:val="single" w:sz="4" w:space="0" w:color="auto"/>
              <w:left w:val="single" w:sz="4" w:space="0" w:color="auto"/>
              <w:bottom w:val="single" w:sz="4" w:space="0" w:color="auto"/>
              <w:right w:val="single" w:sz="4" w:space="0" w:color="auto"/>
            </w:tcBorders>
          </w:tcPr>
          <w:p w14:paraId="6D77420E" w14:textId="478DC739" w:rsidR="0079419C" w:rsidRPr="00F21B37" w:rsidRDefault="0079419C" w:rsidP="0079419C">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132DF52C" w14:textId="7DA21D76" w:rsidR="0079419C" w:rsidRPr="0079419C" w:rsidRDefault="0079419C" w:rsidP="0079419C">
            <w:pPr>
              <w:rPr>
                <w:rFonts w:asciiTheme="minorHAnsi" w:eastAsia="Calibri" w:hAnsiTheme="minorHAnsi" w:cstheme="minorHAnsi"/>
                <w:sz w:val="20"/>
                <w:lang w:val="en-IE" w:eastAsia="en-US"/>
              </w:rPr>
            </w:pPr>
            <w:r w:rsidRPr="0079419C">
              <w:rPr>
                <w:rFonts w:asciiTheme="minorHAnsi" w:hAnsiTheme="minorHAnsi" w:cstheme="minorHAnsi"/>
                <w:sz w:val="20"/>
              </w:rPr>
              <w:t>Yes, in line with Inflation/Supply Chain Delay Co Operation Framework</w:t>
            </w:r>
          </w:p>
        </w:tc>
      </w:tr>
      <w:tr w:rsidR="0079419C" w:rsidRPr="00D07032" w14:paraId="7A418F5C" w14:textId="77777777" w:rsidTr="00AF1710">
        <w:tc>
          <w:tcPr>
            <w:tcW w:w="374" w:type="pct"/>
            <w:tcBorders>
              <w:top w:val="single" w:sz="4" w:space="0" w:color="auto"/>
              <w:left w:val="single" w:sz="4" w:space="0" w:color="auto"/>
              <w:bottom w:val="single" w:sz="4" w:space="0" w:color="auto"/>
              <w:right w:val="single" w:sz="4" w:space="0" w:color="auto"/>
            </w:tcBorders>
          </w:tcPr>
          <w:p w14:paraId="14E5EBCD"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4.8</w:t>
            </w:r>
          </w:p>
        </w:tc>
        <w:tc>
          <w:tcPr>
            <w:tcW w:w="3064" w:type="pct"/>
            <w:tcBorders>
              <w:top w:val="single" w:sz="4" w:space="0" w:color="auto"/>
              <w:left w:val="single" w:sz="4" w:space="0" w:color="auto"/>
              <w:bottom w:val="single" w:sz="4" w:space="0" w:color="auto"/>
              <w:right w:val="single" w:sz="4" w:space="0" w:color="auto"/>
            </w:tcBorders>
            <w:vAlign w:val="center"/>
            <w:hideMark/>
          </w:tcPr>
          <w:p w14:paraId="5393E46C"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Were decisions on changes to budgets / time schedules made promptly?</w:t>
            </w:r>
          </w:p>
        </w:tc>
        <w:tc>
          <w:tcPr>
            <w:tcW w:w="500" w:type="pct"/>
            <w:tcBorders>
              <w:top w:val="single" w:sz="4" w:space="0" w:color="auto"/>
              <w:left w:val="single" w:sz="4" w:space="0" w:color="auto"/>
              <w:bottom w:val="single" w:sz="4" w:space="0" w:color="auto"/>
              <w:right w:val="single" w:sz="4" w:space="0" w:color="auto"/>
            </w:tcBorders>
          </w:tcPr>
          <w:p w14:paraId="6BAEF1FA" w14:textId="71CD6199" w:rsidR="0079419C" w:rsidRPr="00F21B37" w:rsidRDefault="0079419C" w:rsidP="0079419C">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3185EF7E" w14:textId="4F5135D2" w:rsidR="0079419C" w:rsidRPr="0079419C" w:rsidRDefault="0079419C" w:rsidP="0079419C">
            <w:pPr>
              <w:rPr>
                <w:rFonts w:asciiTheme="minorHAnsi" w:eastAsia="Calibri" w:hAnsiTheme="minorHAnsi" w:cstheme="minorHAnsi"/>
                <w:sz w:val="20"/>
                <w:lang w:val="en-IE" w:eastAsia="en-US"/>
              </w:rPr>
            </w:pPr>
            <w:r w:rsidRPr="0079419C">
              <w:rPr>
                <w:rFonts w:asciiTheme="minorHAnsi" w:hAnsiTheme="minorHAnsi" w:cstheme="minorHAnsi"/>
                <w:sz w:val="20"/>
              </w:rPr>
              <w:t>Changes were negotiated accordingly</w:t>
            </w:r>
          </w:p>
        </w:tc>
      </w:tr>
      <w:tr w:rsidR="0079419C" w:rsidRPr="00D07032" w14:paraId="507CF108" w14:textId="77777777" w:rsidTr="00AF1710">
        <w:tc>
          <w:tcPr>
            <w:tcW w:w="374" w:type="pct"/>
            <w:tcBorders>
              <w:top w:val="single" w:sz="4" w:space="0" w:color="auto"/>
              <w:left w:val="single" w:sz="4" w:space="0" w:color="auto"/>
              <w:bottom w:val="single" w:sz="4" w:space="0" w:color="auto"/>
              <w:right w:val="single" w:sz="4" w:space="0" w:color="auto"/>
            </w:tcBorders>
          </w:tcPr>
          <w:p w14:paraId="4025AD6A"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4.9</w:t>
            </w:r>
          </w:p>
        </w:tc>
        <w:tc>
          <w:tcPr>
            <w:tcW w:w="3064" w:type="pct"/>
            <w:tcBorders>
              <w:top w:val="single" w:sz="4" w:space="0" w:color="auto"/>
              <w:left w:val="single" w:sz="4" w:space="0" w:color="auto"/>
              <w:bottom w:val="single" w:sz="4" w:space="0" w:color="auto"/>
              <w:right w:val="single" w:sz="4" w:space="0" w:color="auto"/>
            </w:tcBorders>
            <w:vAlign w:val="center"/>
            <w:hideMark/>
          </w:tcPr>
          <w:p w14:paraId="007A920E"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Did circumstances ever warrant questioning the viability of the project/programme/grant scheme and the business case (exceeding budget, lack of progress, changes in the environment, new evidence, etc.)?</w:t>
            </w:r>
          </w:p>
        </w:tc>
        <w:tc>
          <w:tcPr>
            <w:tcW w:w="500" w:type="pct"/>
            <w:tcBorders>
              <w:top w:val="single" w:sz="4" w:space="0" w:color="auto"/>
              <w:left w:val="single" w:sz="4" w:space="0" w:color="auto"/>
              <w:bottom w:val="single" w:sz="4" w:space="0" w:color="auto"/>
              <w:right w:val="single" w:sz="4" w:space="0" w:color="auto"/>
            </w:tcBorders>
          </w:tcPr>
          <w:p w14:paraId="7941CEB1" w14:textId="2495062B" w:rsidR="0079419C" w:rsidRPr="00F21B37" w:rsidRDefault="0079419C" w:rsidP="0079419C">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6CA35190" w14:textId="041A5E0A" w:rsidR="0079419C" w:rsidRPr="009C2ABE" w:rsidRDefault="0079419C" w:rsidP="0079419C">
            <w:pPr>
              <w:rPr>
                <w:rFonts w:asciiTheme="minorHAnsi" w:eastAsia="Calibri" w:hAnsiTheme="minorHAnsi" w:cstheme="minorHAnsi"/>
                <w:sz w:val="20"/>
                <w:lang w:val="en-IE" w:eastAsia="en-US"/>
              </w:rPr>
            </w:pPr>
            <w:r w:rsidRPr="009C2ABE">
              <w:rPr>
                <w:rFonts w:asciiTheme="minorHAnsi" w:hAnsiTheme="minorHAnsi" w:cstheme="minorHAnsi"/>
                <w:sz w:val="20"/>
              </w:rPr>
              <w:t>Land issues and Stalled stages of projects questioned by Council</w:t>
            </w:r>
          </w:p>
        </w:tc>
      </w:tr>
      <w:tr w:rsidR="0079419C" w:rsidRPr="00D07032" w14:paraId="08AAA42A" w14:textId="77777777" w:rsidTr="00AF1710">
        <w:tc>
          <w:tcPr>
            <w:tcW w:w="374" w:type="pct"/>
            <w:tcBorders>
              <w:top w:val="single" w:sz="4" w:space="0" w:color="auto"/>
              <w:left w:val="single" w:sz="4" w:space="0" w:color="auto"/>
              <w:bottom w:val="single" w:sz="4" w:space="0" w:color="auto"/>
              <w:right w:val="single" w:sz="4" w:space="0" w:color="auto"/>
            </w:tcBorders>
          </w:tcPr>
          <w:p w14:paraId="64379326"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4.10</w:t>
            </w:r>
          </w:p>
        </w:tc>
        <w:tc>
          <w:tcPr>
            <w:tcW w:w="3064" w:type="pct"/>
            <w:tcBorders>
              <w:top w:val="single" w:sz="4" w:space="0" w:color="auto"/>
              <w:left w:val="single" w:sz="4" w:space="0" w:color="auto"/>
              <w:bottom w:val="single" w:sz="4" w:space="0" w:color="auto"/>
              <w:right w:val="single" w:sz="4" w:space="0" w:color="auto"/>
            </w:tcBorders>
            <w:vAlign w:val="center"/>
            <w:hideMark/>
          </w:tcPr>
          <w:p w14:paraId="43151170"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If circumstances did warrant questioning the viability of a project/programme/grant scheme was the project subjected to adequate examination?</w:t>
            </w:r>
          </w:p>
        </w:tc>
        <w:tc>
          <w:tcPr>
            <w:tcW w:w="500" w:type="pct"/>
            <w:tcBorders>
              <w:top w:val="single" w:sz="4" w:space="0" w:color="auto"/>
              <w:left w:val="single" w:sz="4" w:space="0" w:color="auto"/>
              <w:bottom w:val="single" w:sz="4" w:space="0" w:color="auto"/>
              <w:right w:val="single" w:sz="4" w:space="0" w:color="auto"/>
            </w:tcBorders>
          </w:tcPr>
          <w:p w14:paraId="1A4AE077" w14:textId="029664E0" w:rsidR="0079419C" w:rsidRPr="00F21B37" w:rsidRDefault="0079419C" w:rsidP="0079419C">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4591E27D" w14:textId="5EA8A48A" w:rsidR="0079419C" w:rsidRPr="009C2ABE" w:rsidRDefault="0079419C" w:rsidP="0079419C">
            <w:pPr>
              <w:rPr>
                <w:rFonts w:asciiTheme="minorHAnsi" w:eastAsia="Calibri" w:hAnsiTheme="minorHAnsi" w:cstheme="minorHAnsi"/>
                <w:sz w:val="20"/>
                <w:lang w:val="en-IE" w:eastAsia="en-US"/>
              </w:rPr>
            </w:pPr>
            <w:r w:rsidRPr="009C2ABE">
              <w:rPr>
                <w:rFonts w:asciiTheme="minorHAnsi" w:hAnsiTheme="minorHAnsi" w:cstheme="minorHAnsi"/>
                <w:sz w:val="20"/>
              </w:rPr>
              <w:t>Decision at Executive and Council levels</w:t>
            </w:r>
          </w:p>
        </w:tc>
      </w:tr>
      <w:tr w:rsidR="0079419C" w:rsidRPr="00D07032" w14:paraId="3E74851A" w14:textId="77777777" w:rsidTr="00AF1710">
        <w:tc>
          <w:tcPr>
            <w:tcW w:w="374" w:type="pct"/>
            <w:tcBorders>
              <w:top w:val="single" w:sz="4" w:space="0" w:color="auto"/>
              <w:left w:val="single" w:sz="4" w:space="0" w:color="auto"/>
              <w:bottom w:val="single" w:sz="4" w:space="0" w:color="auto"/>
              <w:right w:val="single" w:sz="4" w:space="0" w:color="auto"/>
            </w:tcBorders>
          </w:tcPr>
          <w:p w14:paraId="15688F11"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4.11</w:t>
            </w:r>
          </w:p>
        </w:tc>
        <w:tc>
          <w:tcPr>
            <w:tcW w:w="3064" w:type="pct"/>
            <w:tcBorders>
              <w:top w:val="single" w:sz="4" w:space="0" w:color="auto"/>
              <w:left w:val="single" w:sz="4" w:space="0" w:color="auto"/>
              <w:bottom w:val="single" w:sz="4" w:space="0" w:color="auto"/>
              <w:right w:val="single" w:sz="4" w:space="0" w:color="auto"/>
            </w:tcBorders>
            <w:vAlign w:val="center"/>
            <w:hideMark/>
          </w:tcPr>
          <w:p w14:paraId="67452E4E"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If costs increased or there were other significant changes to the project was approval received from the Approving Authority?</w:t>
            </w:r>
          </w:p>
        </w:tc>
        <w:tc>
          <w:tcPr>
            <w:tcW w:w="500" w:type="pct"/>
            <w:tcBorders>
              <w:top w:val="single" w:sz="4" w:space="0" w:color="auto"/>
              <w:left w:val="single" w:sz="4" w:space="0" w:color="auto"/>
              <w:bottom w:val="single" w:sz="4" w:space="0" w:color="auto"/>
              <w:right w:val="single" w:sz="4" w:space="0" w:color="auto"/>
            </w:tcBorders>
          </w:tcPr>
          <w:p w14:paraId="640E49D7" w14:textId="06BD20B3" w:rsidR="0079419C" w:rsidRPr="00F21B37" w:rsidRDefault="0079419C" w:rsidP="0079419C">
            <w:pPr>
              <w:jc w:val="center"/>
              <w:rPr>
                <w:rFonts w:asciiTheme="minorHAnsi" w:eastAsia="Calibri" w:hAnsiTheme="minorHAnsi" w:cstheme="minorHAnsi"/>
                <w:sz w:val="20"/>
                <w:lang w:val="en-IE" w:eastAsia="en-US"/>
              </w:rPr>
            </w:pPr>
            <w:r w:rsidRPr="00F21B37">
              <w:rPr>
                <w:rFonts w:asciiTheme="minorHAnsi" w:hAnsiTheme="minorHAnsi" w:cstheme="minorHAnsi"/>
                <w:sz w:val="20"/>
              </w:rPr>
              <w:t>2</w:t>
            </w:r>
          </w:p>
        </w:tc>
        <w:tc>
          <w:tcPr>
            <w:tcW w:w="1062" w:type="pct"/>
            <w:tcBorders>
              <w:top w:val="single" w:sz="4" w:space="0" w:color="auto"/>
              <w:left w:val="single" w:sz="4" w:space="0" w:color="auto"/>
              <w:bottom w:val="single" w:sz="4" w:space="0" w:color="auto"/>
              <w:right w:val="single" w:sz="4" w:space="0" w:color="auto"/>
            </w:tcBorders>
          </w:tcPr>
          <w:p w14:paraId="13339F57" w14:textId="209C1FFD" w:rsidR="0079419C" w:rsidRPr="009C2ABE" w:rsidRDefault="0079419C" w:rsidP="0079419C">
            <w:pPr>
              <w:rPr>
                <w:rFonts w:asciiTheme="minorHAnsi" w:eastAsia="Calibri" w:hAnsiTheme="minorHAnsi" w:cstheme="minorHAnsi"/>
                <w:sz w:val="20"/>
                <w:lang w:val="en-IE" w:eastAsia="en-US"/>
              </w:rPr>
            </w:pPr>
            <w:r w:rsidRPr="009C2ABE">
              <w:rPr>
                <w:rFonts w:asciiTheme="minorHAnsi" w:hAnsiTheme="minorHAnsi" w:cstheme="minorHAnsi"/>
                <w:sz w:val="20"/>
              </w:rPr>
              <w:t>Pre-spending approvals were sought</w:t>
            </w:r>
          </w:p>
        </w:tc>
      </w:tr>
      <w:tr w:rsidR="0079419C" w:rsidRPr="00D07032" w14:paraId="134F7755" w14:textId="77777777" w:rsidTr="00AF1710">
        <w:tc>
          <w:tcPr>
            <w:tcW w:w="374" w:type="pct"/>
            <w:tcBorders>
              <w:top w:val="single" w:sz="4" w:space="0" w:color="auto"/>
              <w:left w:val="single" w:sz="4" w:space="0" w:color="auto"/>
              <w:bottom w:val="single" w:sz="4" w:space="0" w:color="auto"/>
              <w:right w:val="single" w:sz="4" w:space="0" w:color="auto"/>
            </w:tcBorders>
          </w:tcPr>
          <w:p w14:paraId="17230EA4"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t>Q 4.12</w:t>
            </w:r>
          </w:p>
        </w:tc>
        <w:tc>
          <w:tcPr>
            <w:tcW w:w="3064" w:type="pct"/>
            <w:tcBorders>
              <w:top w:val="single" w:sz="4" w:space="0" w:color="auto"/>
              <w:left w:val="single" w:sz="4" w:space="0" w:color="auto"/>
              <w:bottom w:val="single" w:sz="4" w:space="0" w:color="auto"/>
              <w:right w:val="single" w:sz="4" w:space="0" w:color="auto"/>
            </w:tcBorders>
            <w:vAlign w:val="center"/>
            <w:hideMark/>
          </w:tcPr>
          <w:p w14:paraId="36F5550A" w14:textId="77777777" w:rsidR="0079419C" w:rsidRPr="00D07032" w:rsidRDefault="0079419C" w:rsidP="0079419C">
            <w:pPr>
              <w:rPr>
                <w:rFonts w:ascii="Calibri" w:eastAsia="Calibri" w:hAnsi="Calibri" w:cs="Arial"/>
                <w:sz w:val="20"/>
                <w:lang w:val="en-IE" w:eastAsia="en-US"/>
              </w:rPr>
            </w:pPr>
            <w:r w:rsidRPr="00D07032">
              <w:rPr>
                <w:rFonts w:ascii="Calibri" w:eastAsia="Calibri" w:hAnsi="Calibri" w:cs="Arial"/>
                <w:sz w:val="20"/>
                <w:lang w:val="en-IE" w:eastAsia="en-US"/>
              </w:rPr>
              <w:br w:type="page"/>
              <w:t>Were any projects/programmes/grant schemes terminated because of deviations from the plan, the budget or because circumstances in the environment changed the need for the investment?</w:t>
            </w:r>
          </w:p>
        </w:tc>
        <w:tc>
          <w:tcPr>
            <w:tcW w:w="500" w:type="pct"/>
            <w:tcBorders>
              <w:top w:val="single" w:sz="4" w:space="0" w:color="auto"/>
              <w:left w:val="single" w:sz="4" w:space="0" w:color="auto"/>
              <w:bottom w:val="single" w:sz="4" w:space="0" w:color="auto"/>
              <w:right w:val="single" w:sz="4" w:space="0" w:color="auto"/>
            </w:tcBorders>
          </w:tcPr>
          <w:p w14:paraId="7CCC2198" w14:textId="2083DFCA" w:rsidR="0079419C" w:rsidRPr="00F21B37" w:rsidRDefault="0079419C" w:rsidP="0079419C">
            <w:pPr>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0</w:t>
            </w:r>
          </w:p>
        </w:tc>
        <w:tc>
          <w:tcPr>
            <w:tcW w:w="1062" w:type="pct"/>
            <w:tcBorders>
              <w:top w:val="single" w:sz="4" w:space="0" w:color="auto"/>
              <w:left w:val="single" w:sz="4" w:space="0" w:color="auto"/>
              <w:bottom w:val="single" w:sz="4" w:space="0" w:color="auto"/>
              <w:right w:val="single" w:sz="4" w:space="0" w:color="auto"/>
            </w:tcBorders>
          </w:tcPr>
          <w:p w14:paraId="3E31B091" w14:textId="71F59FC4" w:rsidR="0079419C" w:rsidRPr="0079419C" w:rsidRDefault="0079419C" w:rsidP="0079419C">
            <w:pPr>
              <w:rPr>
                <w:rFonts w:asciiTheme="minorHAnsi" w:eastAsia="Calibri" w:hAnsiTheme="minorHAnsi" w:cstheme="minorHAnsi"/>
                <w:sz w:val="20"/>
                <w:lang w:val="en-IE" w:eastAsia="en-US"/>
              </w:rPr>
            </w:pPr>
            <w:r w:rsidRPr="0079419C">
              <w:rPr>
                <w:rFonts w:asciiTheme="minorHAnsi" w:hAnsiTheme="minorHAnsi" w:cstheme="minorHAnsi"/>
                <w:sz w:val="20"/>
              </w:rPr>
              <w:t>Yes, serious deviations from the programme resulted in a termination</w:t>
            </w:r>
          </w:p>
        </w:tc>
      </w:tr>
    </w:tbl>
    <w:p w14:paraId="6AA1A462" w14:textId="77777777" w:rsidR="00D07032" w:rsidRPr="00D07032" w:rsidRDefault="00D07032" w:rsidP="00D07032">
      <w:pPr>
        <w:spacing w:after="200" w:line="360" w:lineRule="auto"/>
        <w:rPr>
          <w:rFonts w:asciiTheme="minorHAnsi" w:eastAsia="Calibri" w:hAnsiTheme="minorHAnsi" w:cs="Tahoma"/>
          <w:b/>
          <w:i/>
          <w:sz w:val="20"/>
          <w:lang w:val="en-IE" w:eastAsia="en-US"/>
        </w:rPr>
      </w:pPr>
      <w:r w:rsidRPr="00D07032">
        <w:rPr>
          <w:rFonts w:asciiTheme="minorHAnsi" w:eastAsia="Calibri" w:hAnsiTheme="minorHAnsi" w:cs="Tahoma"/>
          <w:b/>
          <w:i/>
          <w:sz w:val="20"/>
          <w:lang w:val="en-IE" w:eastAsia="en-US"/>
        </w:rPr>
        <w:t>See Note 2 in the opening guidelines in relation to the interpretation of Capital Grant Schemes in the context of Local Government</w:t>
      </w:r>
    </w:p>
    <w:p w14:paraId="203AD566" w14:textId="77777777" w:rsidR="00D07032" w:rsidRDefault="00D07032" w:rsidP="00D07032">
      <w:pPr>
        <w:spacing w:after="200" w:line="360" w:lineRule="auto"/>
        <w:jc w:val="both"/>
        <w:rPr>
          <w:rFonts w:asciiTheme="minorHAnsi" w:eastAsia="Calibri" w:hAnsiTheme="minorHAnsi" w:cs="Tahoma"/>
          <w:b/>
          <w:sz w:val="22"/>
          <w:szCs w:val="22"/>
          <w:lang w:val="en-IE" w:eastAsia="en-US"/>
        </w:rPr>
      </w:pPr>
    </w:p>
    <w:p w14:paraId="1911B738"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618AD9B5"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67E3C2DC" w14:textId="77777777" w:rsidR="00560407" w:rsidRDefault="00560407" w:rsidP="00D07032">
      <w:pPr>
        <w:spacing w:after="200" w:line="360" w:lineRule="auto"/>
        <w:jc w:val="both"/>
        <w:rPr>
          <w:rFonts w:asciiTheme="minorHAnsi" w:eastAsia="Calibri" w:hAnsiTheme="minorHAnsi" w:cs="Tahoma"/>
          <w:b/>
          <w:sz w:val="22"/>
          <w:szCs w:val="22"/>
          <w:lang w:val="en-IE" w:eastAsia="en-US"/>
        </w:rPr>
      </w:pPr>
    </w:p>
    <w:p w14:paraId="562C3FC2" w14:textId="34B85FAA" w:rsidR="00D07032" w:rsidRPr="00D07032" w:rsidRDefault="00D07032" w:rsidP="00D07032">
      <w:pPr>
        <w:spacing w:after="200" w:line="360" w:lineRule="auto"/>
        <w:jc w:val="both"/>
        <w:rPr>
          <w:rFonts w:asciiTheme="minorHAnsi" w:eastAsia="Calibri" w:hAnsiTheme="minorHAnsi" w:cs="Tahoma"/>
          <w:b/>
          <w:sz w:val="22"/>
          <w:szCs w:val="22"/>
          <w:lang w:val="en-IE" w:eastAsia="en-US"/>
        </w:rPr>
      </w:pPr>
      <w:r w:rsidRPr="00D07032">
        <w:rPr>
          <w:rFonts w:asciiTheme="minorHAnsi" w:eastAsia="Calibri" w:hAnsiTheme="minorHAnsi" w:cs="Tahoma"/>
          <w:b/>
          <w:sz w:val="22"/>
          <w:szCs w:val="22"/>
          <w:lang w:val="en-IE" w:eastAsia="en-US"/>
        </w:rPr>
        <w:lastRenderedPageBreak/>
        <w:t>Checklist 5 – To be completed in respect of current expenditure programmes incurring expenditure in the year under review.</w:t>
      </w:r>
    </w:p>
    <w:tbl>
      <w:tblPr>
        <w:tblW w:w="5906"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5684"/>
        <w:gridCol w:w="1065"/>
        <w:gridCol w:w="2038"/>
      </w:tblGrid>
      <w:tr w:rsidR="00D07032" w:rsidRPr="00D07032" w14:paraId="075D809C" w14:textId="77777777" w:rsidTr="00AF1710">
        <w:trPr>
          <w:trHeight w:val="1378"/>
        </w:trPr>
        <w:tc>
          <w:tcPr>
            <w:tcW w:w="520" w:type="pct"/>
            <w:tcBorders>
              <w:top w:val="single" w:sz="4" w:space="0" w:color="auto"/>
              <w:left w:val="single" w:sz="4" w:space="0" w:color="auto"/>
              <w:bottom w:val="single" w:sz="4" w:space="0" w:color="auto"/>
              <w:right w:val="single" w:sz="4" w:space="0" w:color="auto"/>
            </w:tcBorders>
            <w:shd w:val="clear" w:color="auto" w:fill="E6E6E6"/>
          </w:tcPr>
          <w:p w14:paraId="7A96CE7D" w14:textId="77777777" w:rsidR="00D07032" w:rsidRPr="00D07032" w:rsidRDefault="00D07032" w:rsidP="00D07032">
            <w:pPr>
              <w:spacing w:after="200" w:line="360" w:lineRule="auto"/>
              <w:jc w:val="both"/>
              <w:rPr>
                <w:rFonts w:ascii="Calibri" w:eastAsia="Calibri" w:hAnsi="Calibri" w:cs="Arial"/>
                <w:b/>
                <w:sz w:val="20"/>
                <w:lang w:val="en-IE" w:eastAsia="en-US"/>
              </w:rPr>
            </w:pPr>
          </w:p>
        </w:tc>
        <w:tc>
          <w:tcPr>
            <w:tcW w:w="2898" w:type="pct"/>
            <w:tcBorders>
              <w:top w:val="single" w:sz="4" w:space="0" w:color="auto"/>
              <w:left w:val="single" w:sz="4" w:space="0" w:color="auto"/>
              <w:bottom w:val="single" w:sz="4" w:space="0" w:color="auto"/>
              <w:right w:val="single" w:sz="4" w:space="0" w:color="auto"/>
            </w:tcBorders>
            <w:shd w:val="clear" w:color="auto" w:fill="E6E6E6"/>
          </w:tcPr>
          <w:p w14:paraId="067C8986"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72B493BF"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Incurring Current Expenditure</w:t>
            </w:r>
          </w:p>
        </w:tc>
        <w:tc>
          <w:tcPr>
            <w:tcW w:w="543"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1494FDD3" w14:textId="77777777" w:rsidR="00D07032" w:rsidRPr="00D07032" w:rsidRDefault="00D07032" w:rsidP="00D07032">
            <w:pPr>
              <w:spacing w:after="200" w:line="256" w:lineRule="auto"/>
              <w:ind w:left="113" w:right="113"/>
              <w:jc w:val="both"/>
              <w:rPr>
                <w:rFonts w:ascii="Calibri" w:eastAsia="Calibri" w:hAnsi="Calibri" w:cs="Arial"/>
                <w:b/>
                <w:sz w:val="20"/>
                <w:lang w:val="en-IE" w:eastAsia="en-US"/>
              </w:rPr>
            </w:pPr>
            <w:r w:rsidRPr="00D07032">
              <w:rPr>
                <w:rFonts w:ascii="Calibri" w:eastAsia="Calibri" w:hAnsi="Calibri" w:cs="Arial"/>
                <w:b/>
                <w:sz w:val="20"/>
                <w:lang w:val="en-IE" w:eastAsia="en-US"/>
              </w:rPr>
              <w:t>Self-Assessed Compliance Rating: 1 -3</w:t>
            </w:r>
          </w:p>
        </w:tc>
        <w:tc>
          <w:tcPr>
            <w:tcW w:w="1039" w:type="pct"/>
            <w:tcBorders>
              <w:top w:val="single" w:sz="4" w:space="0" w:color="auto"/>
              <w:left w:val="single" w:sz="4" w:space="0" w:color="auto"/>
              <w:bottom w:val="single" w:sz="4" w:space="0" w:color="auto"/>
              <w:right w:val="single" w:sz="4" w:space="0" w:color="auto"/>
            </w:tcBorders>
            <w:shd w:val="clear" w:color="auto" w:fill="E6E6E6"/>
            <w:hideMark/>
          </w:tcPr>
          <w:p w14:paraId="32DA4FCF"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7C348EF6"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9C2ABE" w:rsidRPr="00D07032" w14:paraId="2B1D7C43" w14:textId="77777777" w:rsidTr="00AF1710">
        <w:tc>
          <w:tcPr>
            <w:tcW w:w="520" w:type="pct"/>
            <w:tcBorders>
              <w:top w:val="single" w:sz="4" w:space="0" w:color="auto"/>
              <w:left w:val="single" w:sz="4" w:space="0" w:color="auto"/>
              <w:bottom w:val="single" w:sz="4" w:space="0" w:color="auto"/>
              <w:right w:val="single" w:sz="4" w:space="0" w:color="auto"/>
            </w:tcBorders>
          </w:tcPr>
          <w:p w14:paraId="291BA349"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5.1</w:t>
            </w:r>
          </w:p>
        </w:tc>
        <w:tc>
          <w:tcPr>
            <w:tcW w:w="2898" w:type="pct"/>
            <w:tcBorders>
              <w:top w:val="single" w:sz="4" w:space="0" w:color="auto"/>
              <w:left w:val="single" w:sz="4" w:space="0" w:color="auto"/>
              <w:bottom w:val="single" w:sz="4" w:space="0" w:color="auto"/>
              <w:right w:val="single" w:sz="4" w:space="0" w:color="auto"/>
            </w:tcBorders>
            <w:vAlign w:val="center"/>
            <w:hideMark/>
          </w:tcPr>
          <w:p w14:paraId="2453ED5B"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there clear objectives for all areas of current expenditure?</w:t>
            </w:r>
          </w:p>
        </w:tc>
        <w:tc>
          <w:tcPr>
            <w:tcW w:w="543" w:type="pct"/>
            <w:tcBorders>
              <w:top w:val="single" w:sz="4" w:space="0" w:color="auto"/>
              <w:left w:val="single" w:sz="4" w:space="0" w:color="auto"/>
              <w:bottom w:val="single" w:sz="4" w:space="0" w:color="auto"/>
              <w:right w:val="single" w:sz="4" w:space="0" w:color="auto"/>
            </w:tcBorders>
          </w:tcPr>
          <w:p w14:paraId="42C57AA0" w14:textId="2E7B82EC"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2CFE194D" w14:textId="535A5E3E"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 xml:space="preserve">Almost all of </w:t>
            </w:r>
            <w:proofErr w:type="gramStart"/>
            <w:r w:rsidRPr="00561CD6">
              <w:rPr>
                <w:rFonts w:asciiTheme="minorHAnsi" w:hAnsiTheme="minorHAnsi" w:cstheme="minorHAnsi"/>
                <w:sz w:val="20"/>
              </w:rPr>
              <w:t>the  Service</w:t>
            </w:r>
            <w:proofErr w:type="gramEnd"/>
            <w:r w:rsidRPr="00561CD6">
              <w:rPr>
                <w:rFonts w:asciiTheme="minorHAnsi" w:hAnsiTheme="minorHAnsi" w:cstheme="minorHAnsi"/>
                <w:sz w:val="20"/>
              </w:rPr>
              <w:t xml:space="preserve"> Levels have stated objectives</w:t>
            </w:r>
          </w:p>
        </w:tc>
      </w:tr>
      <w:tr w:rsidR="009C2ABE" w:rsidRPr="00D07032" w14:paraId="5C235301" w14:textId="77777777" w:rsidTr="00AF1710">
        <w:tc>
          <w:tcPr>
            <w:tcW w:w="520" w:type="pct"/>
            <w:tcBorders>
              <w:top w:val="single" w:sz="4" w:space="0" w:color="auto"/>
              <w:left w:val="single" w:sz="4" w:space="0" w:color="auto"/>
              <w:bottom w:val="single" w:sz="4" w:space="0" w:color="auto"/>
              <w:right w:val="single" w:sz="4" w:space="0" w:color="auto"/>
            </w:tcBorders>
          </w:tcPr>
          <w:p w14:paraId="2534CF4A"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5.2</w:t>
            </w:r>
          </w:p>
        </w:tc>
        <w:tc>
          <w:tcPr>
            <w:tcW w:w="2898" w:type="pct"/>
            <w:tcBorders>
              <w:top w:val="single" w:sz="4" w:space="0" w:color="auto"/>
              <w:left w:val="single" w:sz="4" w:space="0" w:color="auto"/>
              <w:bottom w:val="single" w:sz="4" w:space="0" w:color="auto"/>
              <w:right w:val="single" w:sz="4" w:space="0" w:color="auto"/>
            </w:tcBorders>
            <w:vAlign w:val="center"/>
            <w:hideMark/>
          </w:tcPr>
          <w:p w14:paraId="7600FF27"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outputs well defined?</w:t>
            </w:r>
          </w:p>
        </w:tc>
        <w:tc>
          <w:tcPr>
            <w:tcW w:w="543" w:type="pct"/>
            <w:tcBorders>
              <w:top w:val="single" w:sz="4" w:space="0" w:color="auto"/>
              <w:left w:val="single" w:sz="4" w:space="0" w:color="auto"/>
              <w:bottom w:val="single" w:sz="4" w:space="0" w:color="auto"/>
              <w:right w:val="single" w:sz="4" w:space="0" w:color="auto"/>
            </w:tcBorders>
          </w:tcPr>
          <w:p w14:paraId="1F4980FE" w14:textId="4CDE4771"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61E653A2" w14:textId="06678881"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Key Performance Indicators and objective targets are set</w:t>
            </w:r>
          </w:p>
        </w:tc>
      </w:tr>
      <w:tr w:rsidR="009C2ABE" w:rsidRPr="00D07032" w14:paraId="724AC6BD" w14:textId="77777777" w:rsidTr="00AF1710">
        <w:tc>
          <w:tcPr>
            <w:tcW w:w="520" w:type="pct"/>
            <w:tcBorders>
              <w:top w:val="single" w:sz="4" w:space="0" w:color="auto"/>
              <w:left w:val="single" w:sz="4" w:space="0" w:color="auto"/>
              <w:bottom w:val="single" w:sz="4" w:space="0" w:color="auto"/>
              <w:right w:val="single" w:sz="4" w:space="0" w:color="auto"/>
            </w:tcBorders>
          </w:tcPr>
          <w:p w14:paraId="52342F72"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5.3</w:t>
            </w:r>
          </w:p>
        </w:tc>
        <w:tc>
          <w:tcPr>
            <w:tcW w:w="2898" w:type="pct"/>
            <w:tcBorders>
              <w:top w:val="single" w:sz="4" w:space="0" w:color="auto"/>
              <w:left w:val="single" w:sz="4" w:space="0" w:color="auto"/>
              <w:bottom w:val="single" w:sz="4" w:space="0" w:color="auto"/>
              <w:right w:val="single" w:sz="4" w:space="0" w:color="auto"/>
            </w:tcBorders>
            <w:vAlign w:val="center"/>
            <w:hideMark/>
          </w:tcPr>
          <w:p w14:paraId="370CF956"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outputs quantified on a regular basis?</w:t>
            </w:r>
          </w:p>
        </w:tc>
        <w:tc>
          <w:tcPr>
            <w:tcW w:w="543" w:type="pct"/>
            <w:tcBorders>
              <w:top w:val="single" w:sz="4" w:space="0" w:color="auto"/>
              <w:left w:val="single" w:sz="4" w:space="0" w:color="auto"/>
              <w:bottom w:val="single" w:sz="4" w:space="0" w:color="auto"/>
              <w:right w:val="single" w:sz="4" w:space="0" w:color="auto"/>
            </w:tcBorders>
          </w:tcPr>
          <w:p w14:paraId="07C638AE" w14:textId="4CEC7728"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5A7915EB" w14:textId="26A41F83"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Quarterly reports to SPCs and to Council</w:t>
            </w:r>
          </w:p>
        </w:tc>
      </w:tr>
      <w:tr w:rsidR="009C2ABE" w:rsidRPr="00D07032" w14:paraId="5B8A355C" w14:textId="77777777" w:rsidTr="00AF1710">
        <w:tc>
          <w:tcPr>
            <w:tcW w:w="520" w:type="pct"/>
            <w:tcBorders>
              <w:top w:val="single" w:sz="4" w:space="0" w:color="auto"/>
              <w:left w:val="single" w:sz="4" w:space="0" w:color="auto"/>
              <w:bottom w:val="single" w:sz="4" w:space="0" w:color="auto"/>
              <w:right w:val="single" w:sz="4" w:space="0" w:color="auto"/>
            </w:tcBorders>
          </w:tcPr>
          <w:p w14:paraId="39B72FDB"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5.4</w:t>
            </w:r>
          </w:p>
        </w:tc>
        <w:tc>
          <w:tcPr>
            <w:tcW w:w="2898" w:type="pct"/>
            <w:tcBorders>
              <w:top w:val="single" w:sz="4" w:space="0" w:color="auto"/>
              <w:left w:val="single" w:sz="4" w:space="0" w:color="auto"/>
              <w:bottom w:val="single" w:sz="4" w:space="0" w:color="auto"/>
              <w:right w:val="single" w:sz="4" w:space="0" w:color="auto"/>
            </w:tcBorders>
            <w:vAlign w:val="center"/>
            <w:hideMark/>
          </w:tcPr>
          <w:p w14:paraId="43B3AD50"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Is there a method for monitoring efficiency on an ongoing basis?</w:t>
            </w:r>
          </w:p>
        </w:tc>
        <w:tc>
          <w:tcPr>
            <w:tcW w:w="543" w:type="pct"/>
            <w:tcBorders>
              <w:top w:val="single" w:sz="4" w:space="0" w:color="auto"/>
              <w:left w:val="single" w:sz="4" w:space="0" w:color="auto"/>
              <w:bottom w:val="single" w:sz="4" w:space="0" w:color="auto"/>
              <w:right w:val="single" w:sz="4" w:space="0" w:color="auto"/>
            </w:tcBorders>
          </w:tcPr>
          <w:p w14:paraId="5F0CBE36" w14:textId="0159A03D"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06EA09E4" w14:textId="6664E7C0"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Monthly and quarterly Finance Reporting</w:t>
            </w:r>
          </w:p>
        </w:tc>
      </w:tr>
      <w:tr w:rsidR="009C2ABE" w:rsidRPr="00D07032" w14:paraId="0374E8AC" w14:textId="77777777" w:rsidTr="00AF1710">
        <w:tc>
          <w:tcPr>
            <w:tcW w:w="520" w:type="pct"/>
            <w:tcBorders>
              <w:top w:val="single" w:sz="4" w:space="0" w:color="auto"/>
              <w:left w:val="single" w:sz="4" w:space="0" w:color="auto"/>
              <w:bottom w:val="single" w:sz="4" w:space="0" w:color="auto"/>
              <w:right w:val="single" w:sz="4" w:space="0" w:color="auto"/>
            </w:tcBorders>
          </w:tcPr>
          <w:p w14:paraId="602DF9D7"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5.5</w:t>
            </w:r>
          </w:p>
        </w:tc>
        <w:tc>
          <w:tcPr>
            <w:tcW w:w="2898" w:type="pct"/>
            <w:tcBorders>
              <w:top w:val="single" w:sz="4" w:space="0" w:color="auto"/>
              <w:left w:val="single" w:sz="4" w:space="0" w:color="auto"/>
              <w:bottom w:val="single" w:sz="4" w:space="0" w:color="auto"/>
              <w:right w:val="single" w:sz="4" w:space="0" w:color="auto"/>
            </w:tcBorders>
            <w:vAlign w:val="center"/>
            <w:hideMark/>
          </w:tcPr>
          <w:p w14:paraId="5ED68AC4"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outcomes well defined?</w:t>
            </w:r>
          </w:p>
        </w:tc>
        <w:tc>
          <w:tcPr>
            <w:tcW w:w="543" w:type="pct"/>
            <w:tcBorders>
              <w:top w:val="single" w:sz="4" w:space="0" w:color="auto"/>
              <w:left w:val="single" w:sz="4" w:space="0" w:color="auto"/>
              <w:bottom w:val="single" w:sz="4" w:space="0" w:color="auto"/>
              <w:right w:val="single" w:sz="4" w:space="0" w:color="auto"/>
            </w:tcBorders>
          </w:tcPr>
          <w:p w14:paraId="67965CFD" w14:textId="481B954E"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0E7A434F" w14:textId="653BAD7F"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Quarterly monitoring of ongoing progress</w:t>
            </w:r>
          </w:p>
        </w:tc>
      </w:tr>
      <w:tr w:rsidR="009C2ABE" w:rsidRPr="00D07032" w14:paraId="27759A50" w14:textId="77777777" w:rsidTr="00AF1710">
        <w:tc>
          <w:tcPr>
            <w:tcW w:w="520" w:type="pct"/>
            <w:tcBorders>
              <w:top w:val="single" w:sz="4" w:space="0" w:color="auto"/>
              <w:left w:val="single" w:sz="4" w:space="0" w:color="auto"/>
              <w:bottom w:val="single" w:sz="4" w:space="0" w:color="auto"/>
              <w:right w:val="single" w:sz="4" w:space="0" w:color="auto"/>
            </w:tcBorders>
          </w:tcPr>
          <w:p w14:paraId="370EC016"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5.6</w:t>
            </w:r>
          </w:p>
        </w:tc>
        <w:tc>
          <w:tcPr>
            <w:tcW w:w="2898" w:type="pct"/>
            <w:tcBorders>
              <w:top w:val="single" w:sz="4" w:space="0" w:color="auto"/>
              <w:left w:val="single" w:sz="4" w:space="0" w:color="auto"/>
              <w:bottom w:val="single" w:sz="4" w:space="0" w:color="auto"/>
              <w:right w:val="single" w:sz="4" w:space="0" w:color="auto"/>
            </w:tcBorders>
            <w:vAlign w:val="center"/>
            <w:hideMark/>
          </w:tcPr>
          <w:p w14:paraId="4BEBEF46"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outcomes quantified on a regular basis?</w:t>
            </w:r>
          </w:p>
        </w:tc>
        <w:tc>
          <w:tcPr>
            <w:tcW w:w="543" w:type="pct"/>
            <w:tcBorders>
              <w:top w:val="single" w:sz="4" w:space="0" w:color="auto"/>
              <w:left w:val="single" w:sz="4" w:space="0" w:color="auto"/>
              <w:bottom w:val="single" w:sz="4" w:space="0" w:color="auto"/>
              <w:right w:val="single" w:sz="4" w:space="0" w:color="auto"/>
            </w:tcBorders>
          </w:tcPr>
          <w:p w14:paraId="35471DC2" w14:textId="3D7BCB03"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044D6057" w14:textId="5127FED1"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Monthly and quarterly objectives reporting</w:t>
            </w:r>
          </w:p>
        </w:tc>
      </w:tr>
      <w:tr w:rsidR="009C2ABE" w:rsidRPr="00D07032" w14:paraId="6718220E" w14:textId="77777777" w:rsidTr="00AF1710">
        <w:tc>
          <w:tcPr>
            <w:tcW w:w="520" w:type="pct"/>
            <w:tcBorders>
              <w:top w:val="single" w:sz="4" w:space="0" w:color="auto"/>
              <w:left w:val="single" w:sz="4" w:space="0" w:color="auto"/>
              <w:bottom w:val="single" w:sz="4" w:space="0" w:color="auto"/>
              <w:right w:val="single" w:sz="4" w:space="0" w:color="auto"/>
            </w:tcBorders>
          </w:tcPr>
          <w:p w14:paraId="65ADA515"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5.7</w:t>
            </w:r>
          </w:p>
        </w:tc>
        <w:tc>
          <w:tcPr>
            <w:tcW w:w="2898" w:type="pct"/>
            <w:tcBorders>
              <w:top w:val="single" w:sz="4" w:space="0" w:color="auto"/>
              <w:left w:val="single" w:sz="4" w:space="0" w:color="auto"/>
              <w:bottom w:val="single" w:sz="4" w:space="0" w:color="auto"/>
              <w:right w:val="single" w:sz="4" w:space="0" w:color="auto"/>
            </w:tcBorders>
            <w:vAlign w:val="center"/>
            <w:hideMark/>
          </w:tcPr>
          <w:p w14:paraId="51A31568"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unit costings compiled for performance monitoring?</w:t>
            </w:r>
          </w:p>
        </w:tc>
        <w:tc>
          <w:tcPr>
            <w:tcW w:w="543" w:type="pct"/>
            <w:tcBorders>
              <w:top w:val="single" w:sz="4" w:space="0" w:color="auto"/>
              <w:left w:val="single" w:sz="4" w:space="0" w:color="auto"/>
              <w:bottom w:val="single" w:sz="4" w:space="0" w:color="auto"/>
              <w:right w:val="single" w:sz="4" w:space="0" w:color="auto"/>
            </w:tcBorders>
          </w:tcPr>
          <w:p w14:paraId="78791D81" w14:textId="066771C5"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596DDF30" w14:textId="49843DE0"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Limited evidence of the use of Unit Costings as part of performance monitoring</w:t>
            </w:r>
          </w:p>
        </w:tc>
      </w:tr>
      <w:tr w:rsidR="009C2ABE" w:rsidRPr="00D07032" w14:paraId="5DD45009" w14:textId="77777777" w:rsidTr="00AF1710">
        <w:tc>
          <w:tcPr>
            <w:tcW w:w="520" w:type="pct"/>
            <w:tcBorders>
              <w:top w:val="single" w:sz="4" w:space="0" w:color="auto"/>
              <w:left w:val="single" w:sz="4" w:space="0" w:color="auto"/>
              <w:bottom w:val="single" w:sz="4" w:space="0" w:color="auto"/>
              <w:right w:val="single" w:sz="4" w:space="0" w:color="auto"/>
            </w:tcBorders>
          </w:tcPr>
          <w:p w14:paraId="23DF6953"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5.8</w:t>
            </w:r>
          </w:p>
        </w:tc>
        <w:tc>
          <w:tcPr>
            <w:tcW w:w="2898" w:type="pct"/>
            <w:tcBorders>
              <w:top w:val="single" w:sz="4" w:space="0" w:color="auto"/>
              <w:left w:val="single" w:sz="4" w:space="0" w:color="auto"/>
              <w:bottom w:val="single" w:sz="4" w:space="0" w:color="auto"/>
              <w:right w:val="single" w:sz="4" w:space="0" w:color="auto"/>
            </w:tcBorders>
            <w:vAlign w:val="center"/>
            <w:hideMark/>
          </w:tcPr>
          <w:p w14:paraId="4CD860C1"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Are other data complied to monitor performance?</w:t>
            </w:r>
          </w:p>
        </w:tc>
        <w:tc>
          <w:tcPr>
            <w:tcW w:w="543" w:type="pct"/>
            <w:tcBorders>
              <w:top w:val="single" w:sz="4" w:space="0" w:color="auto"/>
              <w:left w:val="single" w:sz="4" w:space="0" w:color="auto"/>
              <w:bottom w:val="single" w:sz="4" w:space="0" w:color="auto"/>
              <w:right w:val="single" w:sz="4" w:space="0" w:color="auto"/>
            </w:tcBorders>
          </w:tcPr>
          <w:p w14:paraId="2404B085" w14:textId="714693C3"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62F4A113" w14:textId="3B9F946E"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Monthly and quarterly objective reporting</w:t>
            </w:r>
          </w:p>
        </w:tc>
      </w:tr>
      <w:tr w:rsidR="009C2ABE" w:rsidRPr="00D07032" w14:paraId="232A5495" w14:textId="77777777" w:rsidTr="00AF1710">
        <w:tc>
          <w:tcPr>
            <w:tcW w:w="520" w:type="pct"/>
            <w:tcBorders>
              <w:top w:val="single" w:sz="4" w:space="0" w:color="auto"/>
              <w:left w:val="single" w:sz="4" w:space="0" w:color="auto"/>
              <w:bottom w:val="single" w:sz="4" w:space="0" w:color="auto"/>
              <w:right w:val="single" w:sz="4" w:space="0" w:color="auto"/>
            </w:tcBorders>
          </w:tcPr>
          <w:p w14:paraId="350F45F5"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5.9</w:t>
            </w:r>
          </w:p>
        </w:tc>
        <w:tc>
          <w:tcPr>
            <w:tcW w:w="2898" w:type="pct"/>
            <w:tcBorders>
              <w:top w:val="single" w:sz="4" w:space="0" w:color="auto"/>
              <w:left w:val="single" w:sz="4" w:space="0" w:color="auto"/>
              <w:bottom w:val="single" w:sz="4" w:space="0" w:color="auto"/>
              <w:right w:val="single" w:sz="4" w:space="0" w:color="auto"/>
            </w:tcBorders>
            <w:vAlign w:val="center"/>
            <w:hideMark/>
          </w:tcPr>
          <w:p w14:paraId="25FB95EE"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Is there a method for monitoring effectiveness on an ongoing basis?</w:t>
            </w:r>
          </w:p>
        </w:tc>
        <w:tc>
          <w:tcPr>
            <w:tcW w:w="543" w:type="pct"/>
            <w:tcBorders>
              <w:top w:val="single" w:sz="4" w:space="0" w:color="auto"/>
              <w:left w:val="single" w:sz="4" w:space="0" w:color="auto"/>
              <w:bottom w:val="single" w:sz="4" w:space="0" w:color="auto"/>
              <w:right w:val="single" w:sz="4" w:space="0" w:color="auto"/>
            </w:tcBorders>
          </w:tcPr>
          <w:p w14:paraId="3FB3A1B4" w14:textId="740E0BB6"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694F52DA" w14:textId="59E43775"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Monthly and quarterly objective reporting</w:t>
            </w:r>
          </w:p>
        </w:tc>
      </w:tr>
      <w:tr w:rsidR="009C2ABE" w:rsidRPr="00D07032" w14:paraId="6C3F1369" w14:textId="77777777" w:rsidTr="00AF1710">
        <w:tc>
          <w:tcPr>
            <w:tcW w:w="520" w:type="pct"/>
            <w:tcBorders>
              <w:top w:val="single" w:sz="4" w:space="0" w:color="auto"/>
              <w:left w:val="single" w:sz="4" w:space="0" w:color="auto"/>
              <w:bottom w:val="single" w:sz="4" w:space="0" w:color="auto"/>
              <w:right w:val="single" w:sz="4" w:space="0" w:color="auto"/>
            </w:tcBorders>
          </w:tcPr>
          <w:p w14:paraId="29FB945F"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5.10</w:t>
            </w:r>
          </w:p>
        </w:tc>
        <w:tc>
          <w:tcPr>
            <w:tcW w:w="2898" w:type="pct"/>
            <w:tcBorders>
              <w:top w:val="single" w:sz="4" w:space="0" w:color="auto"/>
              <w:left w:val="single" w:sz="4" w:space="0" w:color="auto"/>
              <w:bottom w:val="single" w:sz="4" w:space="0" w:color="auto"/>
              <w:right w:val="single" w:sz="4" w:space="0" w:color="auto"/>
            </w:tcBorders>
            <w:vAlign w:val="center"/>
            <w:hideMark/>
          </w:tcPr>
          <w:p w14:paraId="3377DBDA" w14:textId="77777777" w:rsidR="009C2ABE" w:rsidRPr="00D07032" w:rsidRDefault="009C2ABE"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Has the organisation engaged in any other ‘evaluation proofing’ of programmes/projects?</w:t>
            </w:r>
          </w:p>
        </w:tc>
        <w:tc>
          <w:tcPr>
            <w:tcW w:w="543" w:type="pct"/>
            <w:tcBorders>
              <w:top w:val="single" w:sz="4" w:space="0" w:color="auto"/>
              <w:left w:val="single" w:sz="4" w:space="0" w:color="auto"/>
              <w:bottom w:val="single" w:sz="4" w:space="0" w:color="auto"/>
              <w:right w:val="single" w:sz="4" w:space="0" w:color="auto"/>
            </w:tcBorders>
          </w:tcPr>
          <w:p w14:paraId="1839FDC9" w14:textId="2330648A" w:rsidR="009C2ABE" w:rsidRPr="00561CD6" w:rsidRDefault="009C2ABE" w:rsidP="00560407">
            <w:pPr>
              <w:spacing w:after="200"/>
              <w:jc w:val="center"/>
              <w:rPr>
                <w:rFonts w:asciiTheme="minorHAnsi" w:eastAsia="Calibri" w:hAnsiTheme="minorHAnsi" w:cstheme="minorHAnsi"/>
                <w:sz w:val="20"/>
                <w:lang w:val="en-IE" w:eastAsia="en-US"/>
              </w:rPr>
            </w:pPr>
            <w:r w:rsidRPr="00561CD6">
              <w:rPr>
                <w:rFonts w:asciiTheme="minorHAnsi" w:hAnsiTheme="minorHAnsi" w:cstheme="minorHAnsi"/>
                <w:sz w:val="20"/>
              </w:rPr>
              <w:t>2</w:t>
            </w:r>
          </w:p>
        </w:tc>
        <w:tc>
          <w:tcPr>
            <w:tcW w:w="1039" w:type="pct"/>
            <w:tcBorders>
              <w:top w:val="single" w:sz="4" w:space="0" w:color="auto"/>
              <w:left w:val="single" w:sz="4" w:space="0" w:color="auto"/>
              <w:bottom w:val="single" w:sz="4" w:space="0" w:color="auto"/>
              <w:right w:val="single" w:sz="4" w:space="0" w:color="auto"/>
            </w:tcBorders>
          </w:tcPr>
          <w:p w14:paraId="03C9B55B" w14:textId="128DBE3A" w:rsidR="009C2ABE" w:rsidRPr="00561CD6" w:rsidRDefault="009C2ABE" w:rsidP="00560407">
            <w:pPr>
              <w:spacing w:after="200"/>
              <w:rPr>
                <w:rFonts w:asciiTheme="minorHAnsi" w:eastAsia="Calibri" w:hAnsiTheme="minorHAnsi" w:cstheme="minorHAnsi"/>
                <w:sz w:val="20"/>
                <w:lang w:val="en-IE" w:eastAsia="en-US"/>
              </w:rPr>
            </w:pPr>
            <w:r w:rsidRPr="00561CD6">
              <w:rPr>
                <w:rFonts w:asciiTheme="minorHAnsi" w:hAnsiTheme="minorHAnsi" w:cstheme="minorHAnsi"/>
                <w:sz w:val="20"/>
              </w:rPr>
              <w:t>Evidence of use of non-financial data gathered as part of performance monitoring</w:t>
            </w:r>
          </w:p>
        </w:tc>
      </w:tr>
    </w:tbl>
    <w:p w14:paraId="71A6C94A" w14:textId="77777777" w:rsidR="00D07032" w:rsidRPr="00D07032" w:rsidRDefault="00D07032" w:rsidP="00D07032">
      <w:pPr>
        <w:spacing w:after="200" w:line="360" w:lineRule="auto"/>
        <w:jc w:val="both"/>
        <w:rPr>
          <w:rFonts w:asciiTheme="minorHAnsi" w:eastAsia="Calibri" w:hAnsiTheme="minorHAnsi" w:cs="Tahoma"/>
          <w:b/>
          <w:sz w:val="22"/>
          <w:szCs w:val="22"/>
          <w:lang w:val="en-IE" w:eastAsia="en-US"/>
        </w:rPr>
      </w:pPr>
    </w:p>
    <w:p w14:paraId="26850AEE" w14:textId="77777777" w:rsidR="00D07032" w:rsidRPr="00D07032" w:rsidRDefault="00D07032" w:rsidP="00D07032">
      <w:pPr>
        <w:spacing w:after="200" w:line="360" w:lineRule="auto"/>
        <w:jc w:val="both"/>
        <w:rPr>
          <w:rFonts w:asciiTheme="minorHAnsi" w:eastAsia="Calibri" w:hAnsiTheme="minorHAnsi" w:cs="Tahoma"/>
          <w:b/>
          <w:sz w:val="22"/>
          <w:szCs w:val="22"/>
          <w:lang w:val="en-IE" w:eastAsia="en-US"/>
        </w:rPr>
      </w:pPr>
      <w:r w:rsidRPr="00D07032">
        <w:rPr>
          <w:rFonts w:asciiTheme="minorHAnsi" w:eastAsia="Calibri" w:hAnsiTheme="minorHAnsi" w:cs="Tahoma"/>
          <w:sz w:val="20"/>
          <w:lang w:val="en-IE" w:eastAsia="en-US"/>
        </w:rPr>
        <w:br w:type="page"/>
      </w:r>
      <w:r w:rsidRPr="00D07032">
        <w:rPr>
          <w:rFonts w:asciiTheme="minorHAnsi" w:eastAsia="Calibri" w:hAnsiTheme="minorHAnsi" w:cs="Tahoma"/>
          <w:b/>
          <w:sz w:val="22"/>
          <w:szCs w:val="22"/>
          <w:lang w:val="en-IE" w:eastAsia="en-US"/>
        </w:rPr>
        <w:lastRenderedPageBreak/>
        <w:t>Checklist 6 – To be completed in respect of capital projects/programmes &amp; capital grant schemes discontinued in the year under review.</w:t>
      </w:r>
    </w:p>
    <w:tbl>
      <w:tblPr>
        <w:tblW w:w="613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6063"/>
        <w:gridCol w:w="1066"/>
        <w:gridCol w:w="2294"/>
      </w:tblGrid>
      <w:tr w:rsidR="00D07032" w:rsidRPr="00D07032" w14:paraId="78AA1620" w14:textId="77777777" w:rsidTr="00561CD6">
        <w:trPr>
          <w:trHeight w:val="1378"/>
        </w:trPr>
        <w:tc>
          <w:tcPr>
            <w:tcW w:w="375" w:type="pct"/>
            <w:tcBorders>
              <w:top w:val="single" w:sz="4" w:space="0" w:color="auto"/>
              <w:left w:val="single" w:sz="4" w:space="0" w:color="auto"/>
              <w:bottom w:val="single" w:sz="4" w:space="0" w:color="auto"/>
              <w:right w:val="single" w:sz="4" w:space="0" w:color="auto"/>
            </w:tcBorders>
            <w:shd w:val="clear" w:color="auto" w:fill="E6E6E6"/>
          </w:tcPr>
          <w:p w14:paraId="5901076E" w14:textId="77777777" w:rsidR="00D07032" w:rsidRPr="00D07032" w:rsidRDefault="00D07032" w:rsidP="00D07032">
            <w:pPr>
              <w:spacing w:after="200" w:line="360" w:lineRule="auto"/>
              <w:jc w:val="both"/>
              <w:rPr>
                <w:rFonts w:ascii="Calibri" w:eastAsia="Calibri" w:hAnsi="Calibri" w:cs="Arial"/>
                <w:b/>
                <w:sz w:val="20"/>
                <w:lang w:val="en-IE" w:eastAsia="en-US"/>
              </w:rPr>
            </w:pPr>
          </w:p>
        </w:tc>
        <w:tc>
          <w:tcPr>
            <w:tcW w:w="2976" w:type="pct"/>
            <w:tcBorders>
              <w:top w:val="single" w:sz="4" w:space="0" w:color="auto"/>
              <w:left w:val="single" w:sz="4" w:space="0" w:color="auto"/>
              <w:bottom w:val="single" w:sz="4" w:space="0" w:color="auto"/>
              <w:right w:val="single" w:sz="4" w:space="0" w:color="auto"/>
            </w:tcBorders>
            <w:shd w:val="clear" w:color="auto" w:fill="E6E6E6"/>
            <w:hideMark/>
          </w:tcPr>
          <w:p w14:paraId="1786DEEE"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2C230D61"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Capital Expenditure Recently Completed</w:t>
            </w:r>
          </w:p>
        </w:tc>
        <w:tc>
          <w:tcPr>
            <w:tcW w:w="523"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57C50F90" w14:textId="77777777" w:rsidR="00D07032" w:rsidRPr="00D07032" w:rsidRDefault="00D07032" w:rsidP="00D07032">
            <w:pPr>
              <w:spacing w:after="200" w:line="256" w:lineRule="auto"/>
              <w:ind w:left="113" w:right="113"/>
              <w:jc w:val="both"/>
              <w:rPr>
                <w:rFonts w:ascii="Calibri" w:eastAsia="Calibri" w:hAnsi="Calibri" w:cs="Arial"/>
                <w:b/>
                <w:sz w:val="20"/>
                <w:lang w:val="en-IE" w:eastAsia="en-US"/>
              </w:rPr>
            </w:pPr>
            <w:r w:rsidRPr="00D07032">
              <w:rPr>
                <w:rFonts w:ascii="Calibri" w:eastAsia="Calibri" w:hAnsi="Calibri" w:cs="Arial"/>
                <w:b/>
                <w:sz w:val="20"/>
                <w:lang w:val="en-IE" w:eastAsia="en-US"/>
              </w:rPr>
              <w:t>Self-Assessed Compliance Rating:  1 - 3</w:t>
            </w:r>
          </w:p>
        </w:tc>
        <w:tc>
          <w:tcPr>
            <w:tcW w:w="1126" w:type="pct"/>
            <w:tcBorders>
              <w:top w:val="single" w:sz="4" w:space="0" w:color="auto"/>
              <w:left w:val="single" w:sz="4" w:space="0" w:color="auto"/>
              <w:bottom w:val="single" w:sz="4" w:space="0" w:color="auto"/>
              <w:right w:val="single" w:sz="4" w:space="0" w:color="auto"/>
            </w:tcBorders>
            <w:shd w:val="clear" w:color="auto" w:fill="E6E6E6"/>
            <w:hideMark/>
          </w:tcPr>
          <w:p w14:paraId="3DF2F289"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2C4F48D6"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561CD6" w:rsidRPr="00D07032" w14:paraId="3B0C64C4" w14:textId="77777777" w:rsidTr="00561CD6">
        <w:tc>
          <w:tcPr>
            <w:tcW w:w="375" w:type="pct"/>
            <w:tcBorders>
              <w:top w:val="single" w:sz="4" w:space="0" w:color="auto"/>
              <w:left w:val="single" w:sz="4" w:space="0" w:color="auto"/>
              <w:bottom w:val="single" w:sz="4" w:space="0" w:color="auto"/>
              <w:right w:val="single" w:sz="4" w:space="0" w:color="auto"/>
            </w:tcBorders>
          </w:tcPr>
          <w:p w14:paraId="301FC868"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6.1</w:t>
            </w:r>
          </w:p>
        </w:tc>
        <w:tc>
          <w:tcPr>
            <w:tcW w:w="2976" w:type="pct"/>
            <w:tcBorders>
              <w:top w:val="single" w:sz="4" w:space="0" w:color="auto"/>
              <w:left w:val="single" w:sz="4" w:space="0" w:color="auto"/>
              <w:bottom w:val="single" w:sz="4" w:space="0" w:color="auto"/>
              <w:right w:val="single" w:sz="4" w:space="0" w:color="auto"/>
            </w:tcBorders>
            <w:vAlign w:val="center"/>
            <w:hideMark/>
          </w:tcPr>
          <w:p w14:paraId="4E57FE25"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How many Project Completion Reports were completed in the year under review?</w:t>
            </w:r>
          </w:p>
        </w:tc>
        <w:tc>
          <w:tcPr>
            <w:tcW w:w="523" w:type="pct"/>
            <w:tcBorders>
              <w:top w:val="single" w:sz="4" w:space="0" w:color="auto"/>
              <w:left w:val="single" w:sz="4" w:space="0" w:color="auto"/>
              <w:bottom w:val="single" w:sz="4" w:space="0" w:color="auto"/>
              <w:right w:val="single" w:sz="4" w:space="0" w:color="auto"/>
            </w:tcBorders>
          </w:tcPr>
          <w:p w14:paraId="20BDAC68" w14:textId="3F5676E1"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0</w:t>
            </w:r>
          </w:p>
        </w:tc>
        <w:tc>
          <w:tcPr>
            <w:tcW w:w="1126" w:type="pct"/>
            <w:tcBorders>
              <w:top w:val="single" w:sz="4" w:space="0" w:color="auto"/>
              <w:left w:val="single" w:sz="4" w:space="0" w:color="auto"/>
              <w:bottom w:val="single" w:sz="4" w:space="0" w:color="auto"/>
              <w:right w:val="single" w:sz="4" w:space="0" w:color="auto"/>
            </w:tcBorders>
          </w:tcPr>
          <w:p w14:paraId="278BD8E4" w14:textId="0CB221CB" w:rsidR="00561CD6" w:rsidRPr="00561CD6" w:rsidRDefault="00561CD6" w:rsidP="00560407">
            <w:pPr>
              <w:spacing w:after="200"/>
              <w:rPr>
                <w:rFonts w:asciiTheme="minorHAnsi" w:eastAsia="Calibri" w:hAnsiTheme="minorHAnsi" w:cstheme="minorHAnsi"/>
                <w:bCs/>
                <w:sz w:val="20"/>
                <w:lang w:val="en-IE" w:eastAsia="en-US"/>
              </w:rPr>
            </w:pPr>
            <w:r w:rsidRPr="00561CD6">
              <w:rPr>
                <w:rFonts w:asciiTheme="minorHAnsi" w:hAnsiTheme="minorHAnsi" w:cstheme="minorHAnsi"/>
                <w:bCs/>
                <w:sz w:val="20"/>
              </w:rPr>
              <w:t>There were No Project Completion Reports completed in 202</w:t>
            </w:r>
            <w:r w:rsidR="00560407">
              <w:rPr>
                <w:rFonts w:asciiTheme="minorHAnsi" w:hAnsiTheme="minorHAnsi" w:cstheme="minorHAnsi"/>
                <w:bCs/>
                <w:sz w:val="20"/>
              </w:rPr>
              <w:t>2</w:t>
            </w:r>
          </w:p>
        </w:tc>
      </w:tr>
      <w:tr w:rsidR="00561CD6" w:rsidRPr="00D07032" w14:paraId="23459429" w14:textId="77777777" w:rsidTr="00561CD6">
        <w:tc>
          <w:tcPr>
            <w:tcW w:w="375" w:type="pct"/>
            <w:tcBorders>
              <w:top w:val="single" w:sz="4" w:space="0" w:color="auto"/>
              <w:left w:val="single" w:sz="4" w:space="0" w:color="auto"/>
              <w:bottom w:val="single" w:sz="4" w:space="0" w:color="auto"/>
              <w:right w:val="single" w:sz="4" w:space="0" w:color="auto"/>
            </w:tcBorders>
          </w:tcPr>
          <w:p w14:paraId="6582870C"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6.2</w:t>
            </w:r>
          </w:p>
        </w:tc>
        <w:tc>
          <w:tcPr>
            <w:tcW w:w="2976" w:type="pct"/>
            <w:tcBorders>
              <w:top w:val="single" w:sz="4" w:space="0" w:color="auto"/>
              <w:left w:val="single" w:sz="4" w:space="0" w:color="auto"/>
              <w:bottom w:val="single" w:sz="4" w:space="0" w:color="auto"/>
              <w:right w:val="single" w:sz="4" w:space="0" w:color="auto"/>
            </w:tcBorders>
            <w:vAlign w:val="center"/>
            <w:hideMark/>
          </w:tcPr>
          <w:p w14:paraId="5B83BB03"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Were lessons learned from Project Completion Reports incorporated into sectoral guidance and disseminated within the Sponsoring Agency and the Approving Authority?</w:t>
            </w:r>
          </w:p>
        </w:tc>
        <w:tc>
          <w:tcPr>
            <w:tcW w:w="523" w:type="pct"/>
            <w:tcBorders>
              <w:top w:val="single" w:sz="4" w:space="0" w:color="auto"/>
              <w:left w:val="single" w:sz="4" w:space="0" w:color="auto"/>
              <w:bottom w:val="single" w:sz="4" w:space="0" w:color="auto"/>
              <w:right w:val="single" w:sz="4" w:space="0" w:color="auto"/>
            </w:tcBorders>
          </w:tcPr>
          <w:p w14:paraId="67AA5241" w14:textId="7E385693"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N/A</w:t>
            </w:r>
          </w:p>
        </w:tc>
        <w:tc>
          <w:tcPr>
            <w:tcW w:w="1126" w:type="pct"/>
            <w:tcBorders>
              <w:top w:val="single" w:sz="4" w:space="0" w:color="auto"/>
              <w:left w:val="single" w:sz="4" w:space="0" w:color="auto"/>
              <w:bottom w:val="single" w:sz="4" w:space="0" w:color="auto"/>
              <w:right w:val="single" w:sz="4" w:space="0" w:color="auto"/>
            </w:tcBorders>
          </w:tcPr>
          <w:p w14:paraId="0C228499" w14:textId="77777777" w:rsidR="00561CD6" w:rsidRPr="00561CD6" w:rsidRDefault="00561CD6" w:rsidP="00560407">
            <w:pPr>
              <w:spacing w:after="200"/>
              <w:rPr>
                <w:rFonts w:asciiTheme="minorHAnsi" w:eastAsia="Calibri" w:hAnsiTheme="minorHAnsi" w:cstheme="minorHAnsi"/>
                <w:bCs/>
                <w:sz w:val="20"/>
                <w:lang w:val="en-IE" w:eastAsia="en-US"/>
              </w:rPr>
            </w:pPr>
          </w:p>
        </w:tc>
      </w:tr>
      <w:tr w:rsidR="00561CD6" w:rsidRPr="00D07032" w14:paraId="58A4D503" w14:textId="77777777" w:rsidTr="00561CD6">
        <w:tc>
          <w:tcPr>
            <w:tcW w:w="375" w:type="pct"/>
            <w:tcBorders>
              <w:top w:val="single" w:sz="4" w:space="0" w:color="auto"/>
              <w:left w:val="single" w:sz="4" w:space="0" w:color="auto"/>
              <w:bottom w:val="single" w:sz="4" w:space="0" w:color="auto"/>
              <w:right w:val="single" w:sz="4" w:space="0" w:color="auto"/>
            </w:tcBorders>
          </w:tcPr>
          <w:p w14:paraId="3F51B3AC"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6.3</w:t>
            </w:r>
          </w:p>
        </w:tc>
        <w:tc>
          <w:tcPr>
            <w:tcW w:w="2976" w:type="pct"/>
            <w:tcBorders>
              <w:top w:val="single" w:sz="4" w:space="0" w:color="auto"/>
              <w:left w:val="single" w:sz="4" w:space="0" w:color="auto"/>
              <w:bottom w:val="single" w:sz="4" w:space="0" w:color="auto"/>
              <w:right w:val="single" w:sz="4" w:space="0" w:color="auto"/>
            </w:tcBorders>
            <w:vAlign w:val="center"/>
            <w:hideMark/>
          </w:tcPr>
          <w:p w14:paraId="3C66B1F7"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How many Project Completion Reports were published in the year under review?</w:t>
            </w:r>
          </w:p>
        </w:tc>
        <w:tc>
          <w:tcPr>
            <w:tcW w:w="523" w:type="pct"/>
            <w:tcBorders>
              <w:top w:val="single" w:sz="4" w:space="0" w:color="auto"/>
              <w:left w:val="single" w:sz="4" w:space="0" w:color="auto"/>
              <w:bottom w:val="single" w:sz="4" w:space="0" w:color="auto"/>
              <w:right w:val="single" w:sz="4" w:space="0" w:color="auto"/>
            </w:tcBorders>
          </w:tcPr>
          <w:p w14:paraId="4AC61A76" w14:textId="525E2FBA"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0</w:t>
            </w:r>
          </w:p>
        </w:tc>
        <w:tc>
          <w:tcPr>
            <w:tcW w:w="1126" w:type="pct"/>
            <w:tcBorders>
              <w:top w:val="single" w:sz="4" w:space="0" w:color="auto"/>
              <w:left w:val="single" w:sz="4" w:space="0" w:color="auto"/>
              <w:bottom w:val="single" w:sz="4" w:space="0" w:color="auto"/>
              <w:right w:val="single" w:sz="4" w:space="0" w:color="auto"/>
            </w:tcBorders>
          </w:tcPr>
          <w:p w14:paraId="2CF1F084" w14:textId="7AB1FB71" w:rsidR="00561CD6" w:rsidRPr="00561CD6" w:rsidRDefault="00561CD6" w:rsidP="00560407">
            <w:pPr>
              <w:spacing w:after="200"/>
              <w:rPr>
                <w:rFonts w:asciiTheme="minorHAnsi" w:eastAsia="Calibri" w:hAnsiTheme="minorHAnsi" w:cstheme="minorHAnsi"/>
                <w:bCs/>
                <w:sz w:val="20"/>
                <w:lang w:val="en-IE" w:eastAsia="en-US"/>
              </w:rPr>
            </w:pPr>
            <w:r w:rsidRPr="00561CD6">
              <w:rPr>
                <w:rFonts w:asciiTheme="minorHAnsi" w:hAnsiTheme="minorHAnsi" w:cstheme="minorHAnsi"/>
                <w:bCs/>
                <w:sz w:val="20"/>
              </w:rPr>
              <w:t>There were No Project Completion Reports completed in 202</w:t>
            </w:r>
            <w:r w:rsidR="00560407">
              <w:rPr>
                <w:rFonts w:asciiTheme="minorHAnsi" w:hAnsiTheme="minorHAnsi" w:cstheme="minorHAnsi"/>
                <w:bCs/>
                <w:sz w:val="20"/>
              </w:rPr>
              <w:t>2</w:t>
            </w:r>
          </w:p>
        </w:tc>
      </w:tr>
      <w:tr w:rsidR="00561CD6" w:rsidRPr="00D07032" w14:paraId="442A7EEA" w14:textId="77777777" w:rsidTr="00561CD6">
        <w:tc>
          <w:tcPr>
            <w:tcW w:w="375" w:type="pct"/>
            <w:tcBorders>
              <w:top w:val="single" w:sz="4" w:space="0" w:color="auto"/>
              <w:left w:val="single" w:sz="4" w:space="0" w:color="auto"/>
              <w:bottom w:val="single" w:sz="4" w:space="0" w:color="auto"/>
              <w:right w:val="single" w:sz="4" w:space="0" w:color="auto"/>
            </w:tcBorders>
          </w:tcPr>
          <w:p w14:paraId="468CC4DB"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6.4</w:t>
            </w:r>
          </w:p>
        </w:tc>
        <w:tc>
          <w:tcPr>
            <w:tcW w:w="2976" w:type="pct"/>
            <w:tcBorders>
              <w:top w:val="single" w:sz="4" w:space="0" w:color="auto"/>
              <w:left w:val="single" w:sz="4" w:space="0" w:color="auto"/>
              <w:bottom w:val="single" w:sz="4" w:space="0" w:color="auto"/>
              <w:right w:val="single" w:sz="4" w:space="0" w:color="auto"/>
            </w:tcBorders>
            <w:vAlign w:val="center"/>
            <w:hideMark/>
          </w:tcPr>
          <w:p w14:paraId="2168ED90"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How many Ex-Post Evaluations were completed in the year under review?</w:t>
            </w:r>
          </w:p>
        </w:tc>
        <w:tc>
          <w:tcPr>
            <w:tcW w:w="523" w:type="pct"/>
            <w:tcBorders>
              <w:top w:val="single" w:sz="4" w:space="0" w:color="auto"/>
              <w:left w:val="single" w:sz="4" w:space="0" w:color="auto"/>
              <w:bottom w:val="single" w:sz="4" w:space="0" w:color="auto"/>
              <w:right w:val="single" w:sz="4" w:space="0" w:color="auto"/>
            </w:tcBorders>
          </w:tcPr>
          <w:p w14:paraId="516E6548" w14:textId="4893BA5F"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0</w:t>
            </w:r>
          </w:p>
        </w:tc>
        <w:tc>
          <w:tcPr>
            <w:tcW w:w="1126" w:type="pct"/>
            <w:tcBorders>
              <w:top w:val="single" w:sz="4" w:space="0" w:color="auto"/>
              <w:left w:val="single" w:sz="4" w:space="0" w:color="auto"/>
              <w:bottom w:val="single" w:sz="4" w:space="0" w:color="auto"/>
              <w:right w:val="single" w:sz="4" w:space="0" w:color="auto"/>
            </w:tcBorders>
          </w:tcPr>
          <w:p w14:paraId="13306F4C" w14:textId="66619E50" w:rsidR="00561CD6" w:rsidRPr="00561CD6" w:rsidRDefault="00561CD6" w:rsidP="00560407">
            <w:pPr>
              <w:spacing w:after="200"/>
              <w:jc w:val="center"/>
              <w:rPr>
                <w:rFonts w:asciiTheme="minorHAnsi" w:eastAsia="Calibri" w:hAnsiTheme="minorHAnsi" w:cstheme="minorHAnsi"/>
                <w:bCs/>
                <w:sz w:val="20"/>
                <w:lang w:val="en-IE" w:eastAsia="en-US"/>
              </w:rPr>
            </w:pPr>
            <w:r w:rsidRPr="00561CD6">
              <w:rPr>
                <w:rFonts w:asciiTheme="minorHAnsi" w:hAnsiTheme="minorHAnsi" w:cstheme="minorHAnsi"/>
                <w:bCs/>
                <w:sz w:val="20"/>
              </w:rPr>
              <w:t>N/A</w:t>
            </w:r>
          </w:p>
        </w:tc>
      </w:tr>
      <w:tr w:rsidR="00561CD6" w:rsidRPr="00D07032" w14:paraId="6E8909BF" w14:textId="77777777" w:rsidTr="00561CD6">
        <w:tc>
          <w:tcPr>
            <w:tcW w:w="375" w:type="pct"/>
            <w:tcBorders>
              <w:top w:val="single" w:sz="4" w:space="0" w:color="auto"/>
              <w:left w:val="single" w:sz="4" w:space="0" w:color="auto"/>
              <w:bottom w:val="single" w:sz="4" w:space="0" w:color="auto"/>
              <w:right w:val="single" w:sz="4" w:space="0" w:color="auto"/>
            </w:tcBorders>
          </w:tcPr>
          <w:p w14:paraId="2D53BBB7"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6.5</w:t>
            </w:r>
          </w:p>
        </w:tc>
        <w:tc>
          <w:tcPr>
            <w:tcW w:w="2976" w:type="pct"/>
            <w:tcBorders>
              <w:top w:val="single" w:sz="4" w:space="0" w:color="auto"/>
              <w:left w:val="single" w:sz="4" w:space="0" w:color="auto"/>
              <w:bottom w:val="single" w:sz="4" w:space="0" w:color="auto"/>
              <w:right w:val="single" w:sz="4" w:space="0" w:color="auto"/>
            </w:tcBorders>
            <w:vAlign w:val="center"/>
          </w:tcPr>
          <w:p w14:paraId="005513C1"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How many Ex-Post Evaluations were published in the year under review?</w:t>
            </w:r>
          </w:p>
        </w:tc>
        <w:tc>
          <w:tcPr>
            <w:tcW w:w="523" w:type="pct"/>
            <w:tcBorders>
              <w:top w:val="single" w:sz="4" w:space="0" w:color="auto"/>
              <w:left w:val="single" w:sz="4" w:space="0" w:color="auto"/>
              <w:bottom w:val="single" w:sz="4" w:space="0" w:color="auto"/>
              <w:right w:val="single" w:sz="4" w:space="0" w:color="auto"/>
            </w:tcBorders>
          </w:tcPr>
          <w:p w14:paraId="5AE39666" w14:textId="4A033EB3"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0</w:t>
            </w:r>
          </w:p>
        </w:tc>
        <w:tc>
          <w:tcPr>
            <w:tcW w:w="1126" w:type="pct"/>
            <w:tcBorders>
              <w:top w:val="single" w:sz="4" w:space="0" w:color="auto"/>
              <w:left w:val="single" w:sz="4" w:space="0" w:color="auto"/>
              <w:bottom w:val="single" w:sz="4" w:space="0" w:color="auto"/>
              <w:right w:val="single" w:sz="4" w:space="0" w:color="auto"/>
            </w:tcBorders>
          </w:tcPr>
          <w:p w14:paraId="680DA53D" w14:textId="7989387C" w:rsidR="00561CD6" w:rsidRPr="00561CD6" w:rsidRDefault="00561CD6" w:rsidP="00560407">
            <w:pPr>
              <w:spacing w:after="200"/>
              <w:jc w:val="center"/>
              <w:rPr>
                <w:rFonts w:asciiTheme="minorHAnsi" w:eastAsia="Calibri" w:hAnsiTheme="minorHAnsi" w:cstheme="minorHAnsi"/>
                <w:bCs/>
                <w:sz w:val="20"/>
                <w:lang w:val="en-IE" w:eastAsia="en-US"/>
              </w:rPr>
            </w:pPr>
            <w:r w:rsidRPr="00561CD6">
              <w:rPr>
                <w:rFonts w:asciiTheme="minorHAnsi" w:hAnsiTheme="minorHAnsi" w:cstheme="minorHAnsi"/>
                <w:bCs/>
                <w:sz w:val="20"/>
              </w:rPr>
              <w:t>N/A</w:t>
            </w:r>
          </w:p>
        </w:tc>
      </w:tr>
      <w:tr w:rsidR="00561CD6" w:rsidRPr="00D07032" w14:paraId="2D8CD5CF" w14:textId="77777777" w:rsidTr="00561CD6">
        <w:tc>
          <w:tcPr>
            <w:tcW w:w="375" w:type="pct"/>
            <w:tcBorders>
              <w:top w:val="single" w:sz="4" w:space="0" w:color="auto"/>
              <w:left w:val="single" w:sz="4" w:space="0" w:color="auto"/>
              <w:bottom w:val="single" w:sz="4" w:space="0" w:color="auto"/>
              <w:right w:val="single" w:sz="4" w:space="0" w:color="auto"/>
            </w:tcBorders>
          </w:tcPr>
          <w:p w14:paraId="1A47D681"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6.6</w:t>
            </w:r>
          </w:p>
        </w:tc>
        <w:tc>
          <w:tcPr>
            <w:tcW w:w="2976" w:type="pct"/>
            <w:tcBorders>
              <w:top w:val="single" w:sz="4" w:space="0" w:color="auto"/>
              <w:left w:val="single" w:sz="4" w:space="0" w:color="auto"/>
              <w:bottom w:val="single" w:sz="4" w:space="0" w:color="auto"/>
              <w:right w:val="single" w:sz="4" w:space="0" w:color="auto"/>
            </w:tcBorders>
            <w:vAlign w:val="center"/>
            <w:hideMark/>
          </w:tcPr>
          <w:p w14:paraId="50FCDEEA"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Were lessons learned from Ex-Post Evaluation reports incorporated into sectoral guidance and disseminated within the Sponsoring Agency and the Approving Authority?</w:t>
            </w:r>
          </w:p>
        </w:tc>
        <w:tc>
          <w:tcPr>
            <w:tcW w:w="523" w:type="pct"/>
            <w:tcBorders>
              <w:top w:val="single" w:sz="4" w:space="0" w:color="auto"/>
              <w:left w:val="single" w:sz="4" w:space="0" w:color="auto"/>
              <w:bottom w:val="single" w:sz="4" w:space="0" w:color="auto"/>
              <w:right w:val="single" w:sz="4" w:space="0" w:color="auto"/>
            </w:tcBorders>
          </w:tcPr>
          <w:p w14:paraId="10009EDD" w14:textId="2048D6A0"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N/A</w:t>
            </w:r>
          </w:p>
        </w:tc>
        <w:tc>
          <w:tcPr>
            <w:tcW w:w="1126" w:type="pct"/>
            <w:tcBorders>
              <w:top w:val="single" w:sz="4" w:space="0" w:color="auto"/>
              <w:left w:val="single" w:sz="4" w:space="0" w:color="auto"/>
              <w:bottom w:val="single" w:sz="4" w:space="0" w:color="auto"/>
              <w:right w:val="single" w:sz="4" w:space="0" w:color="auto"/>
            </w:tcBorders>
          </w:tcPr>
          <w:p w14:paraId="02DB2E53" w14:textId="77777777" w:rsidR="00561CD6" w:rsidRPr="00561CD6" w:rsidRDefault="00561CD6" w:rsidP="00560407">
            <w:pPr>
              <w:spacing w:after="200"/>
              <w:jc w:val="center"/>
              <w:rPr>
                <w:rFonts w:asciiTheme="minorHAnsi" w:eastAsia="Calibri" w:hAnsiTheme="minorHAnsi" w:cstheme="minorHAnsi"/>
                <w:bCs/>
                <w:sz w:val="20"/>
                <w:lang w:val="en-IE" w:eastAsia="en-US"/>
              </w:rPr>
            </w:pPr>
          </w:p>
        </w:tc>
      </w:tr>
      <w:tr w:rsidR="00561CD6" w:rsidRPr="00D07032" w14:paraId="4D268513" w14:textId="77777777" w:rsidTr="00561CD6">
        <w:tc>
          <w:tcPr>
            <w:tcW w:w="375" w:type="pct"/>
            <w:tcBorders>
              <w:top w:val="single" w:sz="4" w:space="0" w:color="auto"/>
              <w:left w:val="single" w:sz="4" w:space="0" w:color="auto"/>
              <w:bottom w:val="single" w:sz="4" w:space="0" w:color="auto"/>
              <w:right w:val="single" w:sz="4" w:space="0" w:color="auto"/>
            </w:tcBorders>
          </w:tcPr>
          <w:p w14:paraId="0EF32DC3"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6.7</w:t>
            </w:r>
          </w:p>
        </w:tc>
        <w:tc>
          <w:tcPr>
            <w:tcW w:w="2976" w:type="pct"/>
            <w:tcBorders>
              <w:top w:val="single" w:sz="4" w:space="0" w:color="auto"/>
              <w:left w:val="single" w:sz="4" w:space="0" w:color="auto"/>
              <w:bottom w:val="single" w:sz="4" w:space="0" w:color="auto"/>
              <w:right w:val="single" w:sz="4" w:space="0" w:color="auto"/>
            </w:tcBorders>
            <w:vAlign w:val="center"/>
            <w:hideMark/>
          </w:tcPr>
          <w:p w14:paraId="222F47DE"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Were Project Completion Reports and Ex-Post Evaluations carried out by staffing resources independent of project implementation?</w:t>
            </w:r>
          </w:p>
        </w:tc>
        <w:tc>
          <w:tcPr>
            <w:tcW w:w="523" w:type="pct"/>
            <w:tcBorders>
              <w:top w:val="single" w:sz="4" w:space="0" w:color="auto"/>
              <w:left w:val="single" w:sz="4" w:space="0" w:color="auto"/>
              <w:bottom w:val="single" w:sz="4" w:space="0" w:color="auto"/>
              <w:right w:val="single" w:sz="4" w:space="0" w:color="auto"/>
            </w:tcBorders>
          </w:tcPr>
          <w:p w14:paraId="0AE4C1B4" w14:textId="255E690E"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N/A</w:t>
            </w:r>
          </w:p>
        </w:tc>
        <w:tc>
          <w:tcPr>
            <w:tcW w:w="1126" w:type="pct"/>
            <w:tcBorders>
              <w:top w:val="single" w:sz="4" w:space="0" w:color="auto"/>
              <w:left w:val="single" w:sz="4" w:space="0" w:color="auto"/>
              <w:bottom w:val="single" w:sz="4" w:space="0" w:color="auto"/>
              <w:right w:val="single" w:sz="4" w:space="0" w:color="auto"/>
            </w:tcBorders>
          </w:tcPr>
          <w:p w14:paraId="04E7D6C2" w14:textId="77777777" w:rsidR="00561CD6" w:rsidRPr="00561CD6" w:rsidRDefault="00561CD6" w:rsidP="00560407">
            <w:pPr>
              <w:spacing w:after="200"/>
              <w:jc w:val="center"/>
              <w:rPr>
                <w:rFonts w:asciiTheme="minorHAnsi" w:eastAsia="Calibri" w:hAnsiTheme="minorHAnsi" w:cstheme="minorHAnsi"/>
                <w:bCs/>
                <w:sz w:val="20"/>
                <w:lang w:val="en-IE" w:eastAsia="en-US"/>
              </w:rPr>
            </w:pPr>
          </w:p>
        </w:tc>
      </w:tr>
      <w:tr w:rsidR="00561CD6" w:rsidRPr="00D07032" w14:paraId="74C1397D" w14:textId="77777777" w:rsidTr="00561CD6">
        <w:tc>
          <w:tcPr>
            <w:tcW w:w="375" w:type="pct"/>
            <w:tcBorders>
              <w:top w:val="single" w:sz="4" w:space="0" w:color="auto"/>
              <w:left w:val="single" w:sz="4" w:space="0" w:color="auto"/>
              <w:bottom w:val="single" w:sz="4" w:space="0" w:color="auto"/>
              <w:right w:val="single" w:sz="4" w:space="0" w:color="auto"/>
            </w:tcBorders>
          </w:tcPr>
          <w:p w14:paraId="59CC175F"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Q 6.8</w:t>
            </w:r>
          </w:p>
        </w:tc>
        <w:tc>
          <w:tcPr>
            <w:tcW w:w="2976" w:type="pct"/>
            <w:tcBorders>
              <w:top w:val="single" w:sz="4" w:space="0" w:color="auto"/>
              <w:left w:val="single" w:sz="4" w:space="0" w:color="auto"/>
              <w:bottom w:val="single" w:sz="4" w:space="0" w:color="auto"/>
              <w:right w:val="single" w:sz="4" w:space="0" w:color="auto"/>
            </w:tcBorders>
            <w:vAlign w:val="center"/>
          </w:tcPr>
          <w:p w14:paraId="05A97FD1" w14:textId="77777777" w:rsidR="00561CD6" w:rsidRPr="00D07032" w:rsidRDefault="00561CD6" w:rsidP="00560407">
            <w:pPr>
              <w:spacing w:after="200"/>
              <w:rPr>
                <w:rFonts w:ascii="Calibri" w:eastAsia="Calibri" w:hAnsi="Calibri" w:cs="Arial"/>
                <w:sz w:val="20"/>
                <w:lang w:val="en-IE" w:eastAsia="en-US"/>
              </w:rPr>
            </w:pPr>
            <w:r w:rsidRPr="00D07032">
              <w:rPr>
                <w:rFonts w:ascii="Calibri" w:eastAsia="Calibri" w:hAnsi="Calibri" w:cs="Arial"/>
                <w:sz w:val="20"/>
                <w:lang w:val="en-IE" w:eastAsia="en-US"/>
              </w:rPr>
              <w:t>Were Project Completion Reports and Ex-Post Evaluation Reports for projects over €50m sent to DPER for dissemination?</w:t>
            </w:r>
          </w:p>
        </w:tc>
        <w:tc>
          <w:tcPr>
            <w:tcW w:w="523" w:type="pct"/>
            <w:tcBorders>
              <w:top w:val="single" w:sz="4" w:space="0" w:color="auto"/>
              <w:left w:val="single" w:sz="4" w:space="0" w:color="auto"/>
              <w:bottom w:val="single" w:sz="4" w:space="0" w:color="auto"/>
              <w:right w:val="single" w:sz="4" w:space="0" w:color="auto"/>
            </w:tcBorders>
          </w:tcPr>
          <w:p w14:paraId="52992268" w14:textId="31F10904" w:rsidR="00561CD6" w:rsidRPr="00F21B37" w:rsidRDefault="00561CD6" w:rsidP="00560407">
            <w:pPr>
              <w:spacing w:after="200"/>
              <w:jc w:val="center"/>
              <w:rPr>
                <w:rFonts w:asciiTheme="minorHAnsi" w:eastAsia="Calibri" w:hAnsiTheme="minorHAnsi" w:cstheme="minorHAnsi"/>
                <w:bCs/>
                <w:sz w:val="20"/>
                <w:lang w:val="en-IE" w:eastAsia="en-US"/>
              </w:rPr>
            </w:pPr>
            <w:r w:rsidRPr="00F21B37">
              <w:rPr>
                <w:rFonts w:asciiTheme="minorHAnsi" w:hAnsiTheme="minorHAnsi" w:cstheme="minorHAnsi"/>
                <w:bCs/>
                <w:sz w:val="20"/>
              </w:rPr>
              <w:t>N/A</w:t>
            </w:r>
          </w:p>
        </w:tc>
        <w:tc>
          <w:tcPr>
            <w:tcW w:w="1126" w:type="pct"/>
            <w:tcBorders>
              <w:top w:val="single" w:sz="4" w:space="0" w:color="auto"/>
              <w:left w:val="single" w:sz="4" w:space="0" w:color="auto"/>
              <w:bottom w:val="single" w:sz="4" w:space="0" w:color="auto"/>
              <w:right w:val="single" w:sz="4" w:space="0" w:color="auto"/>
            </w:tcBorders>
          </w:tcPr>
          <w:p w14:paraId="57C9D36F" w14:textId="77777777" w:rsidR="00561CD6" w:rsidRPr="00561CD6" w:rsidRDefault="00561CD6" w:rsidP="00560407">
            <w:pPr>
              <w:spacing w:after="200"/>
              <w:jc w:val="center"/>
              <w:rPr>
                <w:rFonts w:asciiTheme="minorHAnsi" w:eastAsia="Calibri" w:hAnsiTheme="minorHAnsi" w:cstheme="minorHAnsi"/>
                <w:bCs/>
                <w:sz w:val="20"/>
                <w:lang w:val="en-IE" w:eastAsia="en-US"/>
              </w:rPr>
            </w:pPr>
          </w:p>
        </w:tc>
      </w:tr>
    </w:tbl>
    <w:p w14:paraId="33C76D64" w14:textId="77777777" w:rsidR="00D07032" w:rsidRPr="00D07032" w:rsidRDefault="00D07032" w:rsidP="00D07032">
      <w:pPr>
        <w:spacing w:after="200" w:line="360" w:lineRule="auto"/>
        <w:jc w:val="both"/>
        <w:rPr>
          <w:rFonts w:asciiTheme="minorHAnsi" w:eastAsia="Calibri" w:hAnsiTheme="minorHAnsi" w:cs="Tahoma"/>
          <w:b/>
          <w:sz w:val="22"/>
          <w:szCs w:val="22"/>
          <w:lang w:val="en-IE" w:eastAsia="en-US"/>
        </w:rPr>
      </w:pPr>
    </w:p>
    <w:p w14:paraId="48A29DF3" w14:textId="27922C50" w:rsidR="00D07032" w:rsidRPr="00561CD6" w:rsidRDefault="00D07032" w:rsidP="00561CD6">
      <w:pPr>
        <w:spacing w:after="200" w:line="360" w:lineRule="auto"/>
        <w:rPr>
          <w:rFonts w:asciiTheme="minorHAnsi" w:eastAsia="Calibri" w:hAnsiTheme="minorHAnsi" w:cs="Tahoma"/>
          <w:b/>
          <w:i/>
          <w:sz w:val="20"/>
          <w:lang w:val="en-IE" w:eastAsia="en-US"/>
        </w:rPr>
      </w:pPr>
      <w:r w:rsidRPr="00D07032">
        <w:rPr>
          <w:rFonts w:asciiTheme="minorHAnsi" w:eastAsia="Calibri" w:hAnsiTheme="minorHAnsi" w:cs="Tahoma"/>
          <w:b/>
          <w:i/>
          <w:sz w:val="20"/>
          <w:lang w:val="en-IE" w:eastAsia="en-US"/>
        </w:rPr>
        <w:t>See Note 2 in the opening guidelines in relation to the interpretation of Capital Grant Schemes in the context of Local Government</w:t>
      </w:r>
    </w:p>
    <w:p w14:paraId="21923D02" w14:textId="77777777" w:rsidR="00D07032" w:rsidRPr="00D07032" w:rsidRDefault="00D07032" w:rsidP="00D07032">
      <w:pPr>
        <w:spacing w:after="200" w:line="360" w:lineRule="auto"/>
        <w:jc w:val="both"/>
        <w:rPr>
          <w:rFonts w:asciiTheme="minorHAnsi" w:eastAsia="Calibri" w:hAnsiTheme="minorHAnsi" w:cs="Tahoma"/>
          <w:sz w:val="20"/>
          <w:lang w:val="en-IE" w:eastAsia="en-US"/>
        </w:rPr>
      </w:pPr>
    </w:p>
    <w:p w14:paraId="36E150F0" w14:textId="77777777" w:rsidR="00D07032" w:rsidRPr="00D07032" w:rsidRDefault="00D07032" w:rsidP="00D07032">
      <w:pPr>
        <w:spacing w:after="200" w:line="360" w:lineRule="auto"/>
        <w:jc w:val="both"/>
        <w:rPr>
          <w:rFonts w:asciiTheme="minorHAnsi" w:eastAsia="Calibri" w:hAnsiTheme="minorHAnsi" w:cs="Tahoma"/>
          <w:b/>
          <w:sz w:val="22"/>
          <w:szCs w:val="22"/>
          <w:lang w:val="en-IE" w:eastAsia="en-US"/>
        </w:rPr>
      </w:pPr>
      <w:r w:rsidRPr="00D07032">
        <w:rPr>
          <w:rFonts w:asciiTheme="minorHAnsi" w:eastAsia="Calibri" w:hAnsiTheme="minorHAnsi" w:cs="Tahoma"/>
          <w:sz w:val="20"/>
          <w:lang w:val="en-IE" w:eastAsia="en-US"/>
        </w:rPr>
        <w:br w:type="page"/>
      </w:r>
      <w:r w:rsidRPr="00D07032">
        <w:rPr>
          <w:rFonts w:asciiTheme="minorHAnsi" w:eastAsia="Calibri" w:hAnsiTheme="minorHAnsi" w:cs="Tahoma"/>
          <w:b/>
          <w:sz w:val="22"/>
          <w:szCs w:val="22"/>
          <w:lang w:val="en-IE" w:eastAsia="en-US"/>
        </w:rPr>
        <w:lastRenderedPageBreak/>
        <w:t>Checklist 7 – To be completed in respect of current expenditure programmes that reached the end of their planned timeframe during the year or were discontinued.</w:t>
      </w:r>
    </w:p>
    <w:tbl>
      <w:tblPr>
        <w:tblW w:w="5906"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5684"/>
        <w:gridCol w:w="1065"/>
        <w:gridCol w:w="2040"/>
      </w:tblGrid>
      <w:tr w:rsidR="00D07032" w:rsidRPr="00D07032" w14:paraId="00CC25C3" w14:textId="77777777" w:rsidTr="00AF1710">
        <w:trPr>
          <w:trHeight w:val="1378"/>
        </w:trPr>
        <w:tc>
          <w:tcPr>
            <w:tcW w:w="519" w:type="pct"/>
            <w:tcBorders>
              <w:top w:val="single" w:sz="4" w:space="0" w:color="auto"/>
              <w:left w:val="single" w:sz="4" w:space="0" w:color="auto"/>
              <w:bottom w:val="single" w:sz="4" w:space="0" w:color="auto"/>
              <w:right w:val="single" w:sz="4" w:space="0" w:color="auto"/>
            </w:tcBorders>
            <w:shd w:val="clear" w:color="auto" w:fill="E6E6E6"/>
          </w:tcPr>
          <w:p w14:paraId="7CEAD197" w14:textId="77777777" w:rsidR="00D07032" w:rsidRPr="00D07032" w:rsidRDefault="00D07032" w:rsidP="00D07032">
            <w:pPr>
              <w:spacing w:line="360" w:lineRule="auto"/>
              <w:rPr>
                <w:rFonts w:ascii="Calibri" w:eastAsia="Calibri" w:hAnsi="Calibri" w:cs="Arial"/>
                <w:b/>
                <w:sz w:val="20"/>
                <w:lang w:val="en-IE" w:eastAsia="en-US"/>
              </w:rPr>
            </w:pPr>
          </w:p>
        </w:tc>
        <w:tc>
          <w:tcPr>
            <w:tcW w:w="2898" w:type="pct"/>
            <w:tcBorders>
              <w:top w:val="single" w:sz="4" w:space="0" w:color="auto"/>
              <w:left w:val="single" w:sz="4" w:space="0" w:color="auto"/>
              <w:bottom w:val="single" w:sz="4" w:space="0" w:color="auto"/>
              <w:right w:val="single" w:sz="4" w:space="0" w:color="auto"/>
            </w:tcBorders>
            <w:shd w:val="clear" w:color="auto" w:fill="E6E6E6"/>
            <w:hideMark/>
          </w:tcPr>
          <w:p w14:paraId="57778CDC" w14:textId="77777777" w:rsidR="00D07032" w:rsidRPr="00D07032" w:rsidRDefault="00D07032" w:rsidP="00D07032">
            <w:pPr>
              <w:spacing w:line="360" w:lineRule="auto"/>
              <w:rPr>
                <w:rFonts w:ascii="Calibri" w:eastAsia="Calibri" w:hAnsi="Calibri" w:cs="Arial"/>
                <w:b/>
                <w:sz w:val="20"/>
                <w:lang w:val="en-IE" w:eastAsia="en-US"/>
              </w:rPr>
            </w:pPr>
          </w:p>
          <w:p w14:paraId="2063A944" w14:textId="77777777" w:rsidR="00D07032" w:rsidRPr="00D07032" w:rsidRDefault="00D07032" w:rsidP="00D07032">
            <w:pPr>
              <w:spacing w:line="360" w:lineRule="auto"/>
              <w:rPr>
                <w:rFonts w:ascii="Calibri" w:eastAsia="Calibri" w:hAnsi="Calibri" w:cs="Arial"/>
                <w:b/>
                <w:sz w:val="20"/>
                <w:lang w:val="en-IE" w:eastAsia="en-US"/>
              </w:rPr>
            </w:pPr>
            <w:r w:rsidRPr="00D07032">
              <w:rPr>
                <w:rFonts w:ascii="Calibri" w:eastAsia="Calibri" w:hAnsi="Calibri" w:cs="Arial"/>
                <w:b/>
                <w:sz w:val="20"/>
                <w:lang w:val="en-IE" w:eastAsia="en-US"/>
              </w:rPr>
              <w:t>Current Expenditure that (</w:t>
            </w:r>
            <w:proofErr w:type="spellStart"/>
            <w:r w:rsidRPr="00D07032">
              <w:rPr>
                <w:rFonts w:ascii="Calibri" w:eastAsia="Calibri" w:hAnsi="Calibri" w:cs="Arial"/>
                <w:b/>
                <w:sz w:val="20"/>
                <w:lang w:val="en-IE" w:eastAsia="en-US"/>
              </w:rPr>
              <w:t>i</w:t>
            </w:r>
            <w:proofErr w:type="spellEnd"/>
            <w:r w:rsidRPr="00D07032">
              <w:rPr>
                <w:rFonts w:ascii="Calibri" w:eastAsia="Calibri" w:hAnsi="Calibri" w:cs="Arial"/>
                <w:b/>
                <w:sz w:val="20"/>
                <w:lang w:val="en-IE" w:eastAsia="en-US"/>
              </w:rPr>
              <w:t xml:space="preserve">) reached the end of its planned </w:t>
            </w:r>
            <w:proofErr w:type="gramStart"/>
            <w:r w:rsidRPr="00D07032">
              <w:rPr>
                <w:rFonts w:ascii="Calibri" w:eastAsia="Calibri" w:hAnsi="Calibri" w:cs="Arial"/>
                <w:b/>
                <w:sz w:val="20"/>
                <w:lang w:val="en-IE" w:eastAsia="en-US"/>
              </w:rPr>
              <w:t>timeframe  or</w:t>
            </w:r>
            <w:proofErr w:type="gramEnd"/>
            <w:r w:rsidRPr="00D07032">
              <w:rPr>
                <w:rFonts w:ascii="Calibri" w:eastAsia="Calibri" w:hAnsi="Calibri" w:cs="Arial"/>
                <w:b/>
                <w:sz w:val="20"/>
                <w:lang w:val="en-IE" w:eastAsia="en-US"/>
              </w:rPr>
              <w:t xml:space="preserve"> (ii) was discontinued</w:t>
            </w:r>
          </w:p>
        </w:tc>
        <w:tc>
          <w:tcPr>
            <w:tcW w:w="543" w:type="pct"/>
            <w:tcBorders>
              <w:top w:val="single" w:sz="4" w:space="0" w:color="auto"/>
              <w:left w:val="single" w:sz="4" w:space="0" w:color="auto"/>
              <w:bottom w:val="single" w:sz="4" w:space="0" w:color="auto"/>
              <w:right w:val="single" w:sz="4" w:space="0" w:color="auto"/>
            </w:tcBorders>
            <w:shd w:val="clear" w:color="auto" w:fill="E6E6E6"/>
            <w:textDirection w:val="btLr"/>
            <w:hideMark/>
          </w:tcPr>
          <w:p w14:paraId="2A616B46" w14:textId="77777777" w:rsidR="00D07032" w:rsidRPr="00D07032" w:rsidRDefault="00D07032" w:rsidP="00D07032">
            <w:pPr>
              <w:spacing w:after="200" w:line="256" w:lineRule="auto"/>
              <w:ind w:left="113" w:right="113"/>
              <w:jc w:val="both"/>
              <w:rPr>
                <w:rFonts w:ascii="Calibri" w:eastAsia="Calibri" w:hAnsi="Calibri" w:cs="Arial"/>
                <w:b/>
                <w:sz w:val="20"/>
                <w:lang w:val="en-IE" w:eastAsia="en-US"/>
              </w:rPr>
            </w:pPr>
            <w:r w:rsidRPr="00D07032">
              <w:rPr>
                <w:rFonts w:ascii="Calibri" w:eastAsia="Calibri" w:hAnsi="Calibri" w:cs="Arial"/>
                <w:b/>
                <w:sz w:val="20"/>
                <w:lang w:val="en-IE" w:eastAsia="en-US"/>
              </w:rPr>
              <w:t>Self-Assessed Compliance Rating:  1 - 3</w:t>
            </w:r>
          </w:p>
        </w:tc>
        <w:tc>
          <w:tcPr>
            <w:tcW w:w="1040" w:type="pct"/>
            <w:tcBorders>
              <w:top w:val="single" w:sz="4" w:space="0" w:color="auto"/>
              <w:left w:val="single" w:sz="4" w:space="0" w:color="auto"/>
              <w:bottom w:val="single" w:sz="4" w:space="0" w:color="auto"/>
              <w:right w:val="single" w:sz="4" w:space="0" w:color="auto"/>
            </w:tcBorders>
            <w:shd w:val="clear" w:color="auto" w:fill="E6E6E6"/>
            <w:hideMark/>
          </w:tcPr>
          <w:p w14:paraId="765D2089" w14:textId="77777777" w:rsidR="00D07032" w:rsidRPr="00D07032" w:rsidRDefault="00D07032" w:rsidP="00D07032">
            <w:pPr>
              <w:spacing w:after="200" w:line="360" w:lineRule="auto"/>
              <w:jc w:val="both"/>
              <w:rPr>
                <w:rFonts w:ascii="Calibri" w:eastAsia="Calibri" w:hAnsi="Calibri" w:cs="Arial"/>
                <w:b/>
                <w:sz w:val="20"/>
                <w:lang w:val="en-IE" w:eastAsia="en-US"/>
              </w:rPr>
            </w:pPr>
          </w:p>
          <w:p w14:paraId="6DB62C3E" w14:textId="77777777" w:rsidR="00D07032" w:rsidRPr="00D07032" w:rsidRDefault="00D07032" w:rsidP="00D07032">
            <w:pPr>
              <w:spacing w:after="200" w:line="360" w:lineRule="auto"/>
              <w:jc w:val="both"/>
              <w:rPr>
                <w:rFonts w:ascii="Calibri" w:eastAsia="Calibri" w:hAnsi="Calibri" w:cs="Arial"/>
                <w:b/>
                <w:sz w:val="20"/>
                <w:lang w:val="en-IE" w:eastAsia="en-US"/>
              </w:rPr>
            </w:pPr>
            <w:r w:rsidRPr="00D07032">
              <w:rPr>
                <w:rFonts w:ascii="Calibri" w:eastAsia="Calibri" w:hAnsi="Calibri" w:cs="Arial"/>
                <w:b/>
                <w:sz w:val="20"/>
                <w:lang w:val="en-IE" w:eastAsia="en-US"/>
              </w:rPr>
              <w:t>Comment/Action Required</w:t>
            </w:r>
          </w:p>
        </w:tc>
      </w:tr>
      <w:tr w:rsidR="00561CD6" w:rsidRPr="00D07032" w14:paraId="20EC5DEB" w14:textId="77777777" w:rsidTr="00AF1710">
        <w:tc>
          <w:tcPr>
            <w:tcW w:w="519" w:type="pct"/>
            <w:tcBorders>
              <w:top w:val="single" w:sz="4" w:space="0" w:color="auto"/>
              <w:left w:val="single" w:sz="4" w:space="0" w:color="auto"/>
              <w:bottom w:val="single" w:sz="4" w:space="0" w:color="auto"/>
              <w:right w:val="single" w:sz="4" w:space="0" w:color="auto"/>
            </w:tcBorders>
          </w:tcPr>
          <w:p w14:paraId="32D15839"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7.1</w:t>
            </w:r>
          </w:p>
        </w:tc>
        <w:tc>
          <w:tcPr>
            <w:tcW w:w="2898" w:type="pct"/>
            <w:tcBorders>
              <w:top w:val="single" w:sz="4" w:space="0" w:color="auto"/>
              <w:left w:val="single" w:sz="4" w:space="0" w:color="auto"/>
              <w:bottom w:val="single" w:sz="4" w:space="0" w:color="auto"/>
              <w:right w:val="single" w:sz="4" w:space="0" w:color="auto"/>
            </w:tcBorders>
            <w:vAlign w:val="center"/>
            <w:hideMark/>
          </w:tcPr>
          <w:p w14:paraId="243246E5"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Were reviews carried out of current expenditure programmes that matured during the year or were discontinued?</w:t>
            </w:r>
          </w:p>
        </w:tc>
        <w:tc>
          <w:tcPr>
            <w:tcW w:w="543" w:type="pct"/>
            <w:tcBorders>
              <w:top w:val="single" w:sz="4" w:space="0" w:color="auto"/>
              <w:left w:val="single" w:sz="4" w:space="0" w:color="auto"/>
              <w:bottom w:val="single" w:sz="4" w:space="0" w:color="auto"/>
              <w:right w:val="single" w:sz="4" w:space="0" w:color="auto"/>
            </w:tcBorders>
          </w:tcPr>
          <w:p w14:paraId="37D68969" w14:textId="2F10A5E7"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1</w:t>
            </w:r>
          </w:p>
        </w:tc>
        <w:tc>
          <w:tcPr>
            <w:tcW w:w="1040" w:type="pct"/>
            <w:tcBorders>
              <w:top w:val="single" w:sz="4" w:space="0" w:color="auto"/>
              <w:left w:val="single" w:sz="4" w:space="0" w:color="auto"/>
              <w:bottom w:val="single" w:sz="4" w:space="0" w:color="auto"/>
              <w:right w:val="single" w:sz="4" w:space="0" w:color="auto"/>
            </w:tcBorders>
          </w:tcPr>
          <w:p w14:paraId="3C62448B" w14:textId="2CB96324" w:rsidR="00561CD6" w:rsidRPr="00561CD6" w:rsidRDefault="00561CD6" w:rsidP="00560407">
            <w:pPr>
              <w:spacing w:after="120"/>
              <w:rPr>
                <w:rFonts w:asciiTheme="minorHAnsi" w:eastAsia="Calibri" w:hAnsiTheme="minorHAnsi" w:cstheme="minorHAnsi"/>
                <w:sz w:val="20"/>
                <w:lang w:val="en-IE" w:eastAsia="en-US"/>
              </w:rPr>
            </w:pPr>
            <w:r w:rsidRPr="00561CD6">
              <w:rPr>
                <w:rFonts w:asciiTheme="minorHAnsi" w:hAnsiTheme="minorHAnsi" w:cstheme="minorHAnsi"/>
                <w:sz w:val="20"/>
              </w:rPr>
              <w:t>No reviews were made of the Projects finished during 2021</w:t>
            </w:r>
          </w:p>
        </w:tc>
      </w:tr>
      <w:tr w:rsidR="00561CD6" w:rsidRPr="00D07032" w14:paraId="6D4CBB24" w14:textId="77777777" w:rsidTr="00AF1710">
        <w:tc>
          <w:tcPr>
            <w:tcW w:w="519" w:type="pct"/>
            <w:tcBorders>
              <w:top w:val="single" w:sz="4" w:space="0" w:color="auto"/>
              <w:left w:val="single" w:sz="4" w:space="0" w:color="auto"/>
              <w:bottom w:val="single" w:sz="4" w:space="0" w:color="auto"/>
              <w:right w:val="single" w:sz="4" w:space="0" w:color="auto"/>
            </w:tcBorders>
          </w:tcPr>
          <w:p w14:paraId="26DBB68C"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7.2</w:t>
            </w:r>
          </w:p>
        </w:tc>
        <w:tc>
          <w:tcPr>
            <w:tcW w:w="2898" w:type="pct"/>
            <w:tcBorders>
              <w:top w:val="single" w:sz="4" w:space="0" w:color="auto"/>
              <w:left w:val="single" w:sz="4" w:space="0" w:color="auto"/>
              <w:bottom w:val="single" w:sz="4" w:space="0" w:color="auto"/>
              <w:right w:val="single" w:sz="4" w:space="0" w:color="auto"/>
            </w:tcBorders>
            <w:vAlign w:val="center"/>
            <w:hideMark/>
          </w:tcPr>
          <w:p w14:paraId="55F6D8D9"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Did those reviews reach conclusions on whether the programmes were efficient?</w:t>
            </w:r>
          </w:p>
        </w:tc>
        <w:tc>
          <w:tcPr>
            <w:tcW w:w="543" w:type="pct"/>
            <w:tcBorders>
              <w:top w:val="single" w:sz="4" w:space="0" w:color="auto"/>
              <w:left w:val="single" w:sz="4" w:space="0" w:color="auto"/>
              <w:bottom w:val="single" w:sz="4" w:space="0" w:color="auto"/>
              <w:right w:val="single" w:sz="4" w:space="0" w:color="auto"/>
            </w:tcBorders>
          </w:tcPr>
          <w:p w14:paraId="79E9DB50" w14:textId="5F1D15D9"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40" w:type="pct"/>
            <w:tcBorders>
              <w:top w:val="single" w:sz="4" w:space="0" w:color="auto"/>
              <w:left w:val="single" w:sz="4" w:space="0" w:color="auto"/>
              <w:bottom w:val="single" w:sz="4" w:space="0" w:color="auto"/>
              <w:right w:val="single" w:sz="4" w:space="0" w:color="auto"/>
            </w:tcBorders>
          </w:tcPr>
          <w:p w14:paraId="1B8F8E24" w14:textId="77777777" w:rsidR="00561CD6" w:rsidRPr="00561CD6" w:rsidRDefault="00561CD6" w:rsidP="00560407">
            <w:pPr>
              <w:spacing w:after="120"/>
              <w:rPr>
                <w:rFonts w:asciiTheme="minorHAnsi" w:eastAsia="Calibri" w:hAnsiTheme="minorHAnsi" w:cstheme="minorHAnsi"/>
                <w:sz w:val="20"/>
                <w:lang w:val="en-IE" w:eastAsia="en-US"/>
              </w:rPr>
            </w:pPr>
          </w:p>
        </w:tc>
      </w:tr>
      <w:tr w:rsidR="00561CD6" w:rsidRPr="00D07032" w14:paraId="19C25F28" w14:textId="77777777" w:rsidTr="00AF1710">
        <w:tc>
          <w:tcPr>
            <w:tcW w:w="519" w:type="pct"/>
            <w:tcBorders>
              <w:top w:val="single" w:sz="4" w:space="0" w:color="auto"/>
              <w:left w:val="single" w:sz="4" w:space="0" w:color="auto"/>
              <w:bottom w:val="single" w:sz="4" w:space="0" w:color="auto"/>
              <w:right w:val="single" w:sz="4" w:space="0" w:color="auto"/>
            </w:tcBorders>
          </w:tcPr>
          <w:p w14:paraId="33B43988"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7.3</w:t>
            </w:r>
          </w:p>
        </w:tc>
        <w:tc>
          <w:tcPr>
            <w:tcW w:w="2898" w:type="pct"/>
            <w:tcBorders>
              <w:top w:val="single" w:sz="4" w:space="0" w:color="auto"/>
              <w:left w:val="single" w:sz="4" w:space="0" w:color="auto"/>
              <w:bottom w:val="single" w:sz="4" w:space="0" w:color="auto"/>
              <w:right w:val="single" w:sz="4" w:space="0" w:color="auto"/>
            </w:tcBorders>
            <w:vAlign w:val="center"/>
            <w:hideMark/>
          </w:tcPr>
          <w:p w14:paraId="240FEE26"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Did those reviews reach conclusions on whether the programmes were effective?</w:t>
            </w:r>
          </w:p>
        </w:tc>
        <w:tc>
          <w:tcPr>
            <w:tcW w:w="543" w:type="pct"/>
            <w:tcBorders>
              <w:top w:val="single" w:sz="4" w:space="0" w:color="auto"/>
              <w:left w:val="single" w:sz="4" w:space="0" w:color="auto"/>
              <w:bottom w:val="single" w:sz="4" w:space="0" w:color="auto"/>
              <w:right w:val="single" w:sz="4" w:space="0" w:color="auto"/>
            </w:tcBorders>
          </w:tcPr>
          <w:p w14:paraId="122FF62F" w14:textId="79DC0164"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40" w:type="pct"/>
            <w:tcBorders>
              <w:top w:val="single" w:sz="4" w:space="0" w:color="auto"/>
              <w:left w:val="single" w:sz="4" w:space="0" w:color="auto"/>
              <w:bottom w:val="single" w:sz="4" w:space="0" w:color="auto"/>
              <w:right w:val="single" w:sz="4" w:space="0" w:color="auto"/>
            </w:tcBorders>
          </w:tcPr>
          <w:p w14:paraId="55041C66" w14:textId="77777777" w:rsidR="00561CD6" w:rsidRPr="00561CD6" w:rsidRDefault="00561CD6" w:rsidP="00560407">
            <w:pPr>
              <w:spacing w:after="120"/>
              <w:rPr>
                <w:rFonts w:asciiTheme="minorHAnsi" w:eastAsia="Calibri" w:hAnsiTheme="minorHAnsi" w:cstheme="minorHAnsi"/>
                <w:sz w:val="20"/>
                <w:lang w:val="en-IE" w:eastAsia="en-US"/>
              </w:rPr>
            </w:pPr>
          </w:p>
        </w:tc>
      </w:tr>
      <w:tr w:rsidR="00561CD6" w:rsidRPr="00D07032" w14:paraId="0B83E1B6" w14:textId="77777777" w:rsidTr="00AF1710">
        <w:tc>
          <w:tcPr>
            <w:tcW w:w="519" w:type="pct"/>
            <w:tcBorders>
              <w:top w:val="single" w:sz="4" w:space="0" w:color="auto"/>
              <w:left w:val="single" w:sz="4" w:space="0" w:color="auto"/>
              <w:bottom w:val="single" w:sz="4" w:space="0" w:color="auto"/>
              <w:right w:val="single" w:sz="4" w:space="0" w:color="auto"/>
            </w:tcBorders>
          </w:tcPr>
          <w:p w14:paraId="50C93CCD"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7.4</w:t>
            </w:r>
          </w:p>
        </w:tc>
        <w:tc>
          <w:tcPr>
            <w:tcW w:w="2898" w:type="pct"/>
            <w:tcBorders>
              <w:top w:val="single" w:sz="4" w:space="0" w:color="auto"/>
              <w:left w:val="single" w:sz="4" w:space="0" w:color="auto"/>
              <w:bottom w:val="single" w:sz="4" w:space="0" w:color="auto"/>
              <w:right w:val="single" w:sz="4" w:space="0" w:color="auto"/>
            </w:tcBorders>
            <w:vAlign w:val="center"/>
            <w:hideMark/>
          </w:tcPr>
          <w:p w14:paraId="532E51F3"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 xml:space="preserve">Have the conclusions reached been </w:t>
            </w:r>
            <w:proofErr w:type="gramStart"/>
            <w:r w:rsidRPr="00D07032">
              <w:rPr>
                <w:rFonts w:ascii="Calibri" w:eastAsia="Calibri" w:hAnsi="Calibri" w:cs="Arial"/>
                <w:sz w:val="20"/>
                <w:lang w:val="en-IE" w:eastAsia="en-US"/>
              </w:rPr>
              <w:t>taken into account</w:t>
            </w:r>
            <w:proofErr w:type="gramEnd"/>
            <w:r w:rsidRPr="00D07032">
              <w:rPr>
                <w:rFonts w:ascii="Calibri" w:eastAsia="Calibri" w:hAnsi="Calibri" w:cs="Arial"/>
                <w:sz w:val="20"/>
                <w:lang w:val="en-IE" w:eastAsia="en-US"/>
              </w:rPr>
              <w:t xml:space="preserve"> in related areas of expenditure?</w:t>
            </w:r>
          </w:p>
        </w:tc>
        <w:tc>
          <w:tcPr>
            <w:tcW w:w="543" w:type="pct"/>
            <w:tcBorders>
              <w:top w:val="single" w:sz="4" w:space="0" w:color="auto"/>
              <w:left w:val="single" w:sz="4" w:space="0" w:color="auto"/>
              <w:bottom w:val="single" w:sz="4" w:space="0" w:color="auto"/>
              <w:right w:val="single" w:sz="4" w:space="0" w:color="auto"/>
            </w:tcBorders>
          </w:tcPr>
          <w:p w14:paraId="330AAA13" w14:textId="082E582F"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40" w:type="pct"/>
            <w:tcBorders>
              <w:top w:val="single" w:sz="4" w:space="0" w:color="auto"/>
              <w:left w:val="single" w:sz="4" w:space="0" w:color="auto"/>
              <w:bottom w:val="single" w:sz="4" w:space="0" w:color="auto"/>
              <w:right w:val="single" w:sz="4" w:space="0" w:color="auto"/>
            </w:tcBorders>
          </w:tcPr>
          <w:p w14:paraId="3B2B69BA" w14:textId="77777777" w:rsidR="00561CD6" w:rsidRPr="00561CD6" w:rsidRDefault="00561CD6" w:rsidP="00560407">
            <w:pPr>
              <w:spacing w:after="120"/>
              <w:rPr>
                <w:rFonts w:asciiTheme="minorHAnsi" w:eastAsia="Calibri" w:hAnsiTheme="minorHAnsi" w:cstheme="minorHAnsi"/>
                <w:sz w:val="20"/>
                <w:lang w:val="en-IE" w:eastAsia="en-US"/>
              </w:rPr>
            </w:pPr>
          </w:p>
        </w:tc>
      </w:tr>
      <w:tr w:rsidR="00561CD6" w:rsidRPr="00D07032" w14:paraId="23B77819" w14:textId="77777777" w:rsidTr="00AF1710">
        <w:tc>
          <w:tcPr>
            <w:tcW w:w="519" w:type="pct"/>
            <w:tcBorders>
              <w:top w:val="single" w:sz="4" w:space="0" w:color="auto"/>
              <w:left w:val="single" w:sz="4" w:space="0" w:color="auto"/>
              <w:bottom w:val="single" w:sz="4" w:space="0" w:color="auto"/>
              <w:right w:val="single" w:sz="4" w:space="0" w:color="auto"/>
            </w:tcBorders>
          </w:tcPr>
          <w:p w14:paraId="5D76AE20"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7.5</w:t>
            </w:r>
          </w:p>
        </w:tc>
        <w:tc>
          <w:tcPr>
            <w:tcW w:w="2898" w:type="pct"/>
            <w:tcBorders>
              <w:top w:val="single" w:sz="4" w:space="0" w:color="auto"/>
              <w:left w:val="single" w:sz="4" w:space="0" w:color="auto"/>
              <w:bottom w:val="single" w:sz="4" w:space="0" w:color="auto"/>
              <w:right w:val="single" w:sz="4" w:space="0" w:color="auto"/>
            </w:tcBorders>
            <w:vAlign w:val="center"/>
            <w:hideMark/>
          </w:tcPr>
          <w:p w14:paraId="2D02E582"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Were any programmes discontinued following a review of a current expenditure programme?</w:t>
            </w:r>
          </w:p>
        </w:tc>
        <w:tc>
          <w:tcPr>
            <w:tcW w:w="543" w:type="pct"/>
            <w:tcBorders>
              <w:top w:val="single" w:sz="4" w:space="0" w:color="auto"/>
              <w:left w:val="single" w:sz="4" w:space="0" w:color="auto"/>
              <w:bottom w:val="single" w:sz="4" w:space="0" w:color="auto"/>
              <w:right w:val="single" w:sz="4" w:space="0" w:color="auto"/>
            </w:tcBorders>
          </w:tcPr>
          <w:p w14:paraId="632B6492" w14:textId="74F9CA7A"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40" w:type="pct"/>
            <w:tcBorders>
              <w:top w:val="single" w:sz="4" w:space="0" w:color="auto"/>
              <w:left w:val="single" w:sz="4" w:space="0" w:color="auto"/>
              <w:bottom w:val="single" w:sz="4" w:space="0" w:color="auto"/>
              <w:right w:val="single" w:sz="4" w:space="0" w:color="auto"/>
            </w:tcBorders>
          </w:tcPr>
          <w:p w14:paraId="12BE25A9" w14:textId="77777777" w:rsidR="00561CD6" w:rsidRPr="00561CD6" w:rsidRDefault="00561CD6" w:rsidP="00560407">
            <w:pPr>
              <w:spacing w:after="120"/>
              <w:rPr>
                <w:rFonts w:asciiTheme="minorHAnsi" w:eastAsia="Calibri" w:hAnsiTheme="minorHAnsi" w:cstheme="minorHAnsi"/>
                <w:sz w:val="20"/>
                <w:lang w:val="en-IE" w:eastAsia="en-US"/>
              </w:rPr>
            </w:pPr>
          </w:p>
        </w:tc>
      </w:tr>
      <w:tr w:rsidR="00561CD6" w:rsidRPr="00D07032" w14:paraId="1C027B2D" w14:textId="77777777" w:rsidTr="00AF1710">
        <w:tc>
          <w:tcPr>
            <w:tcW w:w="519" w:type="pct"/>
            <w:tcBorders>
              <w:top w:val="single" w:sz="4" w:space="0" w:color="auto"/>
              <w:left w:val="single" w:sz="4" w:space="0" w:color="auto"/>
              <w:bottom w:val="single" w:sz="4" w:space="0" w:color="auto"/>
              <w:right w:val="single" w:sz="4" w:space="0" w:color="auto"/>
            </w:tcBorders>
          </w:tcPr>
          <w:p w14:paraId="5087174B"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7.6</w:t>
            </w:r>
          </w:p>
        </w:tc>
        <w:tc>
          <w:tcPr>
            <w:tcW w:w="2898" w:type="pct"/>
            <w:tcBorders>
              <w:top w:val="single" w:sz="4" w:space="0" w:color="auto"/>
              <w:left w:val="single" w:sz="4" w:space="0" w:color="auto"/>
              <w:bottom w:val="single" w:sz="4" w:space="0" w:color="auto"/>
              <w:right w:val="single" w:sz="4" w:space="0" w:color="auto"/>
            </w:tcBorders>
            <w:vAlign w:val="center"/>
            <w:hideMark/>
          </w:tcPr>
          <w:p w14:paraId="69958BA2"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Were reviews carried out by staffing resources independent of project implementation?</w:t>
            </w:r>
          </w:p>
        </w:tc>
        <w:tc>
          <w:tcPr>
            <w:tcW w:w="543" w:type="pct"/>
            <w:tcBorders>
              <w:top w:val="single" w:sz="4" w:space="0" w:color="auto"/>
              <w:left w:val="single" w:sz="4" w:space="0" w:color="auto"/>
              <w:bottom w:val="single" w:sz="4" w:space="0" w:color="auto"/>
              <w:right w:val="single" w:sz="4" w:space="0" w:color="auto"/>
            </w:tcBorders>
          </w:tcPr>
          <w:p w14:paraId="291ABB91" w14:textId="2DD9AE7F"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40" w:type="pct"/>
            <w:tcBorders>
              <w:top w:val="single" w:sz="4" w:space="0" w:color="auto"/>
              <w:left w:val="single" w:sz="4" w:space="0" w:color="auto"/>
              <w:bottom w:val="single" w:sz="4" w:space="0" w:color="auto"/>
              <w:right w:val="single" w:sz="4" w:space="0" w:color="auto"/>
            </w:tcBorders>
          </w:tcPr>
          <w:p w14:paraId="019A6ADE" w14:textId="77777777" w:rsidR="00561CD6" w:rsidRPr="00561CD6" w:rsidRDefault="00561CD6" w:rsidP="00560407">
            <w:pPr>
              <w:spacing w:after="120"/>
              <w:rPr>
                <w:rFonts w:asciiTheme="minorHAnsi" w:eastAsia="Calibri" w:hAnsiTheme="minorHAnsi" w:cstheme="minorHAnsi"/>
                <w:sz w:val="20"/>
                <w:lang w:val="en-IE" w:eastAsia="en-US"/>
              </w:rPr>
            </w:pPr>
          </w:p>
        </w:tc>
      </w:tr>
      <w:tr w:rsidR="00561CD6" w:rsidRPr="00D07032" w14:paraId="6EF1B461" w14:textId="77777777" w:rsidTr="00AF1710">
        <w:tc>
          <w:tcPr>
            <w:tcW w:w="519" w:type="pct"/>
            <w:tcBorders>
              <w:top w:val="single" w:sz="4" w:space="0" w:color="auto"/>
              <w:left w:val="single" w:sz="4" w:space="0" w:color="auto"/>
              <w:bottom w:val="single" w:sz="4" w:space="0" w:color="auto"/>
              <w:right w:val="single" w:sz="4" w:space="0" w:color="auto"/>
            </w:tcBorders>
          </w:tcPr>
          <w:p w14:paraId="263C2D7D"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Q 7.7</w:t>
            </w:r>
          </w:p>
        </w:tc>
        <w:tc>
          <w:tcPr>
            <w:tcW w:w="2898" w:type="pct"/>
            <w:tcBorders>
              <w:top w:val="single" w:sz="4" w:space="0" w:color="auto"/>
              <w:left w:val="single" w:sz="4" w:space="0" w:color="auto"/>
              <w:bottom w:val="single" w:sz="4" w:space="0" w:color="auto"/>
              <w:right w:val="single" w:sz="4" w:space="0" w:color="auto"/>
            </w:tcBorders>
            <w:vAlign w:val="center"/>
            <w:hideMark/>
          </w:tcPr>
          <w:p w14:paraId="6DA9E5F8" w14:textId="77777777" w:rsidR="00561CD6" w:rsidRPr="00D07032" w:rsidRDefault="00561CD6" w:rsidP="00560407">
            <w:pPr>
              <w:spacing w:after="120"/>
              <w:rPr>
                <w:rFonts w:ascii="Calibri" w:eastAsia="Calibri" w:hAnsi="Calibri" w:cs="Arial"/>
                <w:sz w:val="20"/>
                <w:lang w:val="en-IE" w:eastAsia="en-US"/>
              </w:rPr>
            </w:pPr>
            <w:r w:rsidRPr="00D07032">
              <w:rPr>
                <w:rFonts w:ascii="Calibri" w:eastAsia="Calibri" w:hAnsi="Calibri" w:cs="Arial"/>
                <w:sz w:val="20"/>
                <w:lang w:val="en-IE" w:eastAsia="en-US"/>
              </w:rPr>
              <w:t xml:space="preserve">Were changes made to the organisation’s practices </w:t>
            </w:r>
            <w:proofErr w:type="gramStart"/>
            <w:r w:rsidRPr="00D07032">
              <w:rPr>
                <w:rFonts w:ascii="Calibri" w:eastAsia="Calibri" w:hAnsi="Calibri" w:cs="Arial"/>
                <w:sz w:val="20"/>
                <w:lang w:val="en-IE" w:eastAsia="en-US"/>
              </w:rPr>
              <w:t>in light of</w:t>
            </w:r>
            <w:proofErr w:type="gramEnd"/>
            <w:r w:rsidRPr="00D07032">
              <w:rPr>
                <w:rFonts w:ascii="Calibri" w:eastAsia="Calibri" w:hAnsi="Calibri" w:cs="Arial"/>
                <w:sz w:val="20"/>
                <w:lang w:val="en-IE" w:eastAsia="en-US"/>
              </w:rPr>
              <w:t xml:space="preserve"> lessons learned from reviews?</w:t>
            </w:r>
          </w:p>
        </w:tc>
        <w:tc>
          <w:tcPr>
            <w:tcW w:w="543" w:type="pct"/>
            <w:tcBorders>
              <w:top w:val="single" w:sz="4" w:space="0" w:color="auto"/>
              <w:left w:val="single" w:sz="4" w:space="0" w:color="auto"/>
              <w:bottom w:val="single" w:sz="4" w:space="0" w:color="auto"/>
              <w:right w:val="single" w:sz="4" w:space="0" w:color="auto"/>
            </w:tcBorders>
          </w:tcPr>
          <w:p w14:paraId="29E83D37" w14:textId="13080180" w:rsidR="00561CD6" w:rsidRPr="00F21B37" w:rsidRDefault="00561CD6" w:rsidP="00F21B37">
            <w:pPr>
              <w:spacing w:after="120"/>
              <w:jc w:val="center"/>
              <w:rPr>
                <w:rFonts w:asciiTheme="minorHAnsi" w:eastAsia="Calibri" w:hAnsiTheme="minorHAnsi" w:cstheme="minorHAnsi"/>
                <w:sz w:val="20"/>
                <w:lang w:val="en-IE" w:eastAsia="en-US"/>
              </w:rPr>
            </w:pPr>
            <w:r w:rsidRPr="00F21B37">
              <w:rPr>
                <w:rFonts w:asciiTheme="minorHAnsi" w:hAnsiTheme="minorHAnsi" w:cstheme="minorHAnsi"/>
                <w:sz w:val="20"/>
              </w:rPr>
              <w:t>N/A</w:t>
            </w:r>
          </w:p>
        </w:tc>
        <w:tc>
          <w:tcPr>
            <w:tcW w:w="1040" w:type="pct"/>
            <w:tcBorders>
              <w:top w:val="single" w:sz="4" w:space="0" w:color="auto"/>
              <w:left w:val="single" w:sz="4" w:space="0" w:color="auto"/>
              <w:bottom w:val="single" w:sz="4" w:space="0" w:color="auto"/>
              <w:right w:val="single" w:sz="4" w:space="0" w:color="auto"/>
            </w:tcBorders>
          </w:tcPr>
          <w:p w14:paraId="4D81283E" w14:textId="77777777" w:rsidR="00561CD6" w:rsidRPr="00561CD6" w:rsidRDefault="00561CD6" w:rsidP="00560407">
            <w:pPr>
              <w:spacing w:after="120"/>
              <w:rPr>
                <w:rFonts w:asciiTheme="minorHAnsi" w:eastAsia="Calibri" w:hAnsiTheme="minorHAnsi" w:cstheme="minorHAnsi"/>
                <w:sz w:val="20"/>
                <w:lang w:val="en-IE" w:eastAsia="en-US"/>
              </w:rPr>
            </w:pPr>
          </w:p>
        </w:tc>
      </w:tr>
    </w:tbl>
    <w:p w14:paraId="3985BC0C" w14:textId="77777777" w:rsidR="00646D01" w:rsidRDefault="00646D01" w:rsidP="0006581E">
      <w:pPr>
        <w:rPr>
          <w:rFonts w:cs="Tahoma"/>
          <w:sz w:val="20"/>
        </w:rPr>
      </w:pPr>
    </w:p>
    <w:p w14:paraId="0C81F8C5" w14:textId="77777777" w:rsidR="00560407" w:rsidRDefault="00560407" w:rsidP="0006581E">
      <w:pPr>
        <w:rPr>
          <w:rFonts w:cs="Tahoma"/>
          <w:sz w:val="20"/>
        </w:rPr>
      </w:pPr>
    </w:p>
    <w:p w14:paraId="5A8BF319" w14:textId="77777777" w:rsidR="00095B3A" w:rsidRDefault="00095B3A" w:rsidP="00095B3A">
      <w:pPr>
        <w:jc w:val="both"/>
        <w:rPr>
          <w:rFonts w:ascii="Century Gothic" w:hAnsi="Century Gothic" w:cstheme="minorHAnsi"/>
          <w:sz w:val="22"/>
          <w:szCs w:val="22"/>
          <w:u w:val="single"/>
        </w:rPr>
      </w:pPr>
      <w:r w:rsidRPr="00095B3A">
        <w:rPr>
          <w:rFonts w:ascii="Century Gothic" w:hAnsi="Century Gothic" w:cstheme="minorHAnsi"/>
          <w:sz w:val="22"/>
          <w:szCs w:val="22"/>
          <w:u w:val="single"/>
        </w:rPr>
        <w:t>Notes:</w:t>
      </w:r>
    </w:p>
    <w:p w14:paraId="45F9DEA6" w14:textId="77777777" w:rsidR="00095B3A" w:rsidRPr="00095B3A" w:rsidRDefault="00095B3A" w:rsidP="00095B3A">
      <w:pPr>
        <w:pStyle w:val="ListParagraph"/>
        <w:numPr>
          <w:ilvl w:val="0"/>
          <w:numId w:val="9"/>
        </w:numPr>
        <w:spacing w:after="0" w:line="240" w:lineRule="auto"/>
        <w:ind w:left="426"/>
        <w:contextualSpacing/>
        <w:jc w:val="both"/>
        <w:rPr>
          <w:rFonts w:ascii="Century Gothic" w:hAnsi="Century Gothic" w:cstheme="minorHAnsi"/>
          <w:szCs w:val="22"/>
        </w:rPr>
      </w:pPr>
      <w:r w:rsidRPr="00095B3A">
        <w:rPr>
          <w:rFonts w:ascii="Century Gothic" w:hAnsi="Century Gothic" w:cstheme="minorHAnsi"/>
          <w:szCs w:val="22"/>
        </w:rPr>
        <w:t>The scoring mechanism for the above checklists is as follows:</w:t>
      </w:r>
    </w:p>
    <w:p w14:paraId="1DDF549B" w14:textId="77777777" w:rsidR="00095B3A" w:rsidRPr="00095B3A" w:rsidRDefault="00095B3A" w:rsidP="00095B3A">
      <w:pPr>
        <w:pStyle w:val="ListParagraph"/>
        <w:numPr>
          <w:ilvl w:val="0"/>
          <w:numId w:val="10"/>
        </w:numPr>
        <w:spacing w:after="0" w:line="259" w:lineRule="auto"/>
        <w:contextualSpacing/>
        <w:rPr>
          <w:rFonts w:ascii="Century Gothic" w:hAnsi="Century Gothic" w:cstheme="minorHAnsi"/>
          <w:szCs w:val="22"/>
        </w:rPr>
      </w:pPr>
      <w:r w:rsidRPr="00095B3A">
        <w:rPr>
          <w:rFonts w:ascii="Century Gothic" w:hAnsi="Century Gothic" w:cstheme="minorHAnsi"/>
          <w:szCs w:val="22"/>
        </w:rPr>
        <w:t xml:space="preserve">Scope for significant improvements = a score of </w:t>
      </w:r>
      <w:r w:rsidRPr="00095B3A">
        <w:rPr>
          <w:rFonts w:ascii="Century Gothic" w:hAnsi="Century Gothic" w:cstheme="minorHAnsi"/>
          <w:b/>
          <w:szCs w:val="22"/>
        </w:rPr>
        <w:t>1</w:t>
      </w:r>
    </w:p>
    <w:p w14:paraId="1BBD9108" w14:textId="77777777" w:rsidR="00095B3A" w:rsidRPr="00095B3A" w:rsidRDefault="00095B3A" w:rsidP="00095B3A">
      <w:pPr>
        <w:pStyle w:val="ListParagraph"/>
        <w:numPr>
          <w:ilvl w:val="0"/>
          <w:numId w:val="10"/>
        </w:numPr>
        <w:spacing w:after="160" w:line="259" w:lineRule="auto"/>
        <w:contextualSpacing/>
        <w:rPr>
          <w:rFonts w:ascii="Century Gothic" w:hAnsi="Century Gothic" w:cstheme="minorHAnsi"/>
          <w:szCs w:val="22"/>
        </w:rPr>
      </w:pPr>
      <w:r w:rsidRPr="00095B3A">
        <w:rPr>
          <w:rFonts w:ascii="Century Gothic" w:hAnsi="Century Gothic" w:cstheme="minorHAnsi"/>
          <w:szCs w:val="22"/>
        </w:rPr>
        <w:t xml:space="preserve">Compliant but with some improvement necessary = a score of </w:t>
      </w:r>
      <w:r w:rsidRPr="00095B3A">
        <w:rPr>
          <w:rFonts w:ascii="Century Gothic" w:hAnsi="Century Gothic" w:cstheme="minorHAnsi"/>
          <w:b/>
          <w:szCs w:val="22"/>
        </w:rPr>
        <w:t>2</w:t>
      </w:r>
    </w:p>
    <w:p w14:paraId="5271A7C3" w14:textId="77777777" w:rsidR="00095B3A" w:rsidRPr="00095B3A" w:rsidRDefault="00095B3A" w:rsidP="00095B3A">
      <w:pPr>
        <w:pStyle w:val="ListParagraph"/>
        <w:numPr>
          <w:ilvl w:val="0"/>
          <w:numId w:val="10"/>
        </w:numPr>
        <w:spacing w:after="160" w:line="259" w:lineRule="auto"/>
        <w:contextualSpacing/>
        <w:rPr>
          <w:rFonts w:ascii="Century Gothic" w:hAnsi="Century Gothic" w:cstheme="minorHAnsi"/>
          <w:szCs w:val="22"/>
        </w:rPr>
      </w:pPr>
      <w:r w:rsidRPr="00095B3A">
        <w:rPr>
          <w:rFonts w:ascii="Century Gothic" w:hAnsi="Century Gothic" w:cstheme="minorHAnsi"/>
          <w:szCs w:val="22"/>
        </w:rPr>
        <w:t xml:space="preserve">Broadly compliant = a score of </w:t>
      </w:r>
      <w:r w:rsidRPr="00095B3A">
        <w:rPr>
          <w:rFonts w:ascii="Century Gothic" w:hAnsi="Century Gothic" w:cstheme="minorHAnsi"/>
          <w:b/>
          <w:szCs w:val="22"/>
        </w:rPr>
        <w:t>3</w:t>
      </w:r>
    </w:p>
    <w:p w14:paraId="6D3DC518" w14:textId="77777777" w:rsidR="00095B3A" w:rsidRPr="0046190E" w:rsidRDefault="00095B3A" w:rsidP="00095B3A">
      <w:pPr>
        <w:pStyle w:val="ListParagraph"/>
        <w:spacing w:after="0" w:line="259" w:lineRule="auto"/>
        <w:ind w:left="426"/>
        <w:rPr>
          <w:rFonts w:ascii="Century Gothic" w:hAnsi="Century Gothic" w:cstheme="minorHAnsi"/>
          <w:sz w:val="16"/>
          <w:szCs w:val="22"/>
        </w:rPr>
      </w:pPr>
    </w:p>
    <w:p w14:paraId="75BF2114" w14:textId="77777777" w:rsidR="00095B3A" w:rsidRPr="00095B3A" w:rsidRDefault="00095B3A" w:rsidP="00095B3A">
      <w:pPr>
        <w:pStyle w:val="ListParagraph"/>
        <w:numPr>
          <w:ilvl w:val="0"/>
          <w:numId w:val="9"/>
        </w:numPr>
        <w:spacing w:after="160" w:line="259" w:lineRule="auto"/>
        <w:ind w:left="426"/>
        <w:contextualSpacing/>
        <w:jc w:val="both"/>
        <w:rPr>
          <w:rFonts w:ascii="Century Gothic" w:hAnsi="Century Gothic" w:cstheme="minorHAnsi"/>
          <w:szCs w:val="22"/>
        </w:rPr>
      </w:pPr>
      <w:r w:rsidRPr="00095B3A">
        <w:rPr>
          <w:rFonts w:ascii="Century Gothic" w:hAnsi="Century Gothic" w:cstheme="minorHAnsi"/>
          <w:szCs w:val="22"/>
        </w:rPr>
        <w:t xml:space="preserve">For some questions, the scoring mechanism is not always strictly relevant.  In these cases, it is appropriate to mark as </w:t>
      </w:r>
      <w:r w:rsidRPr="000E4F1F">
        <w:rPr>
          <w:rFonts w:ascii="Century Gothic" w:hAnsi="Century Gothic" w:cstheme="minorHAnsi"/>
          <w:b/>
          <w:szCs w:val="22"/>
        </w:rPr>
        <w:t>N/A</w:t>
      </w:r>
      <w:r w:rsidRPr="00095B3A">
        <w:rPr>
          <w:rFonts w:ascii="Century Gothic" w:hAnsi="Century Gothic" w:cstheme="minorHAnsi"/>
          <w:szCs w:val="22"/>
        </w:rPr>
        <w:t xml:space="preserve"> and provide the required information in the commentary box as appropriate.</w:t>
      </w:r>
    </w:p>
    <w:p w14:paraId="4064E3BE" w14:textId="77777777" w:rsidR="00095B3A" w:rsidRPr="0046190E" w:rsidRDefault="00095B3A" w:rsidP="00095B3A">
      <w:pPr>
        <w:pStyle w:val="ListParagraph"/>
        <w:spacing w:after="0" w:line="259" w:lineRule="auto"/>
        <w:ind w:left="426"/>
        <w:jc w:val="both"/>
        <w:rPr>
          <w:rFonts w:ascii="Century Gothic" w:hAnsi="Century Gothic" w:cstheme="minorHAnsi"/>
          <w:sz w:val="16"/>
          <w:szCs w:val="22"/>
        </w:rPr>
      </w:pPr>
    </w:p>
    <w:p w14:paraId="7981C404" w14:textId="77777777" w:rsidR="00095B3A" w:rsidRPr="00095B3A" w:rsidRDefault="00095B3A" w:rsidP="00095B3A">
      <w:pPr>
        <w:pStyle w:val="ListParagraph"/>
        <w:numPr>
          <w:ilvl w:val="0"/>
          <w:numId w:val="9"/>
        </w:numPr>
        <w:spacing w:after="0" w:line="259" w:lineRule="auto"/>
        <w:ind w:left="426"/>
        <w:contextualSpacing/>
        <w:jc w:val="both"/>
        <w:rPr>
          <w:rFonts w:ascii="Century Gothic" w:hAnsi="Century Gothic" w:cstheme="minorHAnsi"/>
          <w:szCs w:val="22"/>
        </w:rPr>
      </w:pPr>
      <w:r w:rsidRPr="00095B3A">
        <w:rPr>
          <w:rFonts w:ascii="Century Gothic" w:hAnsi="Century Gothic" w:cstheme="minorHAnsi"/>
          <w:szCs w:val="22"/>
        </w:rPr>
        <w:t xml:space="preserve">The focus should be on providing descriptive and contextual information to frame the compliance ratings and to address the issues raised for each question.  It is also important to provide summary details of key analytical outputs covered in the sample for those questions which address compliance with appraisal / evaluation requirements </w:t>
      </w:r>
      <w:proofErr w:type="gramStart"/>
      <w:r w:rsidRPr="00095B3A">
        <w:rPr>
          <w:rFonts w:ascii="Century Gothic" w:hAnsi="Century Gothic" w:cstheme="minorHAnsi"/>
          <w:szCs w:val="22"/>
        </w:rPr>
        <w:t>i.e.</w:t>
      </w:r>
      <w:proofErr w:type="gramEnd"/>
      <w:r w:rsidRPr="00095B3A">
        <w:rPr>
          <w:rFonts w:ascii="Century Gothic" w:hAnsi="Century Gothic" w:cstheme="minorHAnsi"/>
          <w:szCs w:val="22"/>
        </w:rPr>
        <w:t xml:space="preserve"> the annual number of appraisals (e.g. Cost Benefit Analyses or Multi Criteria Analyses), evaluations (e.g. Post Project Reviews).  Key analytical outputs undertaken but outside of the sample should also be noted in the report.</w:t>
      </w:r>
    </w:p>
    <w:p w14:paraId="5751651A" w14:textId="77777777" w:rsidR="00137E2B" w:rsidRDefault="00137E2B" w:rsidP="00137E2B">
      <w:pPr>
        <w:rPr>
          <w:lang w:val="en-IE"/>
        </w:rPr>
      </w:pPr>
    </w:p>
    <w:p w14:paraId="585699A1" w14:textId="77777777" w:rsidR="00560407" w:rsidRDefault="00560407" w:rsidP="00137E2B">
      <w:pPr>
        <w:rPr>
          <w:lang w:val="en-IE"/>
        </w:rPr>
      </w:pPr>
    </w:p>
    <w:p w14:paraId="316BA1C1" w14:textId="77777777" w:rsidR="00560407" w:rsidRPr="00137E2B" w:rsidRDefault="00560407" w:rsidP="00137E2B">
      <w:pPr>
        <w:rPr>
          <w:lang w:val="en-IE"/>
        </w:rPr>
      </w:pPr>
    </w:p>
    <w:p w14:paraId="68A07F58" w14:textId="77777777" w:rsidR="00EB5AB2" w:rsidRDefault="00EB5AB2">
      <w:pPr>
        <w:pStyle w:val="Heading4"/>
        <w:tabs>
          <w:tab w:val="left" w:pos="1985"/>
        </w:tabs>
      </w:pPr>
      <w:r>
        <w:lastRenderedPageBreak/>
        <w:t>Main Issues Arising from Checklist Assessment</w:t>
      </w:r>
    </w:p>
    <w:p w14:paraId="70423832" w14:textId="77777777" w:rsidR="00EB5AB2" w:rsidRDefault="00EB5AB2">
      <w:pPr>
        <w:jc w:val="both"/>
        <w:rPr>
          <w:rFonts w:ascii="Century Gothic" w:hAnsi="Century Gothic"/>
        </w:rPr>
      </w:pPr>
    </w:p>
    <w:p w14:paraId="3772BF37" w14:textId="77777777" w:rsidR="00EB5AB2" w:rsidRDefault="00EB5AB2">
      <w:pPr>
        <w:jc w:val="both"/>
        <w:rPr>
          <w:rFonts w:ascii="Century Gothic" w:hAnsi="Century Gothic"/>
          <w:i/>
        </w:rPr>
      </w:pPr>
      <w:r>
        <w:rPr>
          <w:rFonts w:ascii="Century Gothic" w:hAnsi="Century Gothic"/>
          <w:i/>
        </w:rPr>
        <w:t>The completed checklists show the extent to which Galway City Council believe they comply with the Public Spending Code.  Overall, the checklists show a good level of compliance with the Code.</w:t>
      </w:r>
    </w:p>
    <w:p w14:paraId="481E6DEF" w14:textId="77777777" w:rsidR="00EB5AB2" w:rsidRDefault="00EB5AB2">
      <w:pPr>
        <w:jc w:val="both"/>
        <w:rPr>
          <w:rFonts w:ascii="Century Gothic" w:hAnsi="Century Gothic"/>
        </w:rPr>
      </w:pPr>
    </w:p>
    <w:p w14:paraId="526C3234" w14:textId="510108E0" w:rsidR="00EB5AB2" w:rsidRDefault="00EB5AB2">
      <w:pPr>
        <w:jc w:val="both"/>
        <w:rPr>
          <w:rFonts w:ascii="Century Gothic" w:hAnsi="Century Gothic"/>
        </w:rPr>
      </w:pPr>
      <w:r>
        <w:rPr>
          <w:rFonts w:ascii="Century Gothic" w:hAnsi="Century Gothic"/>
        </w:rPr>
        <w:t xml:space="preserve">This is the </w:t>
      </w:r>
      <w:r w:rsidR="0006581E">
        <w:rPr>
          <w:rFonts w:ascii="Century Gothic" w:hAnsi="Century Gothic"/>
        </w:rPr>
        <w:t>nin</w:t>
      </w:r>
      <w:r w:rsidR="00137E2B">
        <w:rPr>
          <w:rFonts w:ascii="Century Gothic" w:hAnsi="Century Gothic"/>
        </w:rPr>
        <w:t>th</w:t>
      </w:r>
      <w:r>
        <w:rPr>
          <w:rFonts w:ascii="Century Gothic" w:hAnsi="Century Gothic"/>
        </w:rPr>
        <w:t xml:space="preserve"> year that the Public Spending Code is being reported on by the Local Government sector.  The process of embedding the principles of the code </w:t>
      </w:r>
      <w:r w:rsidR="00907787">
        <w:rPr>
          <w:rFonts w:ascii="Century Gothic" w:hAnsi="Century Gothic"/>
        </w:rPr>
        <w:t>remains</w:t>
      </w:r>
      <w:r>
        <w:rPr>
          <w:rFonts w:ascii="Century Gothic" w:hAnsi="Century Gothic"/>
        </w:rPr>
        <w:t xml:space="preserve"> </w:t>
      </w:r>
      <w:proofErr w:type="gramStart"/>
      <w:r w:rsidR="001E6AB5">
        <w:rPr>
          <w:rFonts w:ascii="Century Gothic" w:hAnsi="Century Gothic"/>
        </w:rPr>
        <w:t>ongoing</w:t>
      </w:r>
      <w:r>
        <w:rPr>
          <w:rFonts w:ascii="Century Gothic" w:hAnsi="Century Gothic"/>
        </w:rPr>
        <w:t>, and</w:t>
      </w:r>
      <w:proofErr w:type="gramEnd"/>
      <w:r>
        <w:rPr>
          <w:rFonts w:ascii="Century Gothic" w:hAnsi="Century Gothic"/>
        </w:rPr>
        <w:t xml:space="preserve"> will be monitored as part of the Quality Assurance process in </w:t>
      </w:r>
      <w:r w:rsidR="00E520F8">
        <w:rPr>
          <w:rFonts w:ascii="Century Gothic" w:hAnsi="Century Gothic"/>
        </w:rPr>
        <w:t>forthcoming</w:t>
      </w:r>
      <w:r>
        <w:rPr>
          <w:rFonts w:ascii="Century Gothic" w:hAnsi="Century Gothic"/>
        </w:rPr>
        <w:t xml:space="preserve"> years.</w:t>
      </w:r>
    </w:p>
    <w:p w14:paraId="1BCEE091" w14:textId="77777777" w:rsidR="00EB5AB2" w:rsidRDefault="00EB5AB2">
      <w:pPr>
        <w:jc w:val="both"/>
        <w:rPr>
          <w:rFonts w:ascii="Century Gothic" w:hAnsi="Century Gothic"/>
        </w:rPr>
      </w:pPr>
    </w:p>
    <w:p w14:paraId="6A89CED3" w14:textId="19251CC4" w:rsidR="00EB5AB2" w:rsidRDefault="00EB5AB2">
      <w:pPr>
        <w:jc w:val="both"/>
        <w:rPr>
          <w:rFonts w:ascii="Century Gothic" w:hAnsi="Century Gothic"/>
        </w:rPr>
      </w:pPr>
      <w:proofErr w:type="gramStart"/>
      <w:r>
        <w:rPr>
          <w:rFonts w:ascii="Century Gothic" w:hAnsi="Century Gothic"/>
        </w:rPr>
        <w:t>With regard to</w:t>
      </w:r>
      <w:proofErr w:type="gramEnd"/>
      <w:r>
        <w:rPr>
          <w:rFonts w:ascii="Century Gothic" w:hAnsi="Century Gothic"/>
        </w:rPr>
        <w:t xml:space="preserve"> </w:t>
      </w:r>
      <w:r>
        <w:rPr>
          <w:rFonts w:ascii="Century Gothic" w:hAnsi="Century Gothic"/>
          <w:u w:val="single"/>
        </w:rPr>
        <w:t>Checklist 2</w:t>
      </w:r>
      <w:r>
        <w:rPr>
          <w:rFonts w:ascii="Century Gothic" w:hAnsi="Century Gothic"/>
        </w:rPr>
        <w:t xml:space="preserve"> – capital expenditure being considered, there </w:t>
      </w:r>
      <w:r w:rsidR="001E6AB5">
        <w:rPr>
          <w:rFonts w:ascii="Century Gothic" w:hAnsi="Century Gothic"/>
        </w:rPr>
        <w:t>were</w:t>
      </w:r>
      <w:r w:rsidR="004664F2">
        <w:rPr>
          <w:rFonts w:ascii="Century Gothic" w:hAnsi="Century Gothic"/>
        </w:rPr>
        <w:t xml:space="preserve"> </w:t>
      </w:r>
      <w:r w:rsidR="00B94286">
        <w:rPr>
          <w:rFonts w:ascii="Century Gothic" w:hAnsi="Century Gothic"/>
        </w:rPr>
        <w:t>eight</w:t>
      </w:r>
      <w:r>
        <w:rPr>
          <w:rFonts w:ascii="Century Gothic" w:hAnsi="Century Gothic"/>
        </w:rPr>
        <w:t xml:space="preserve"> capital job</w:t>
      </w:r>
      <w:r w:rsidR="003C328E">
        <w:rPr>
          <w:rFonts w:ascii="Century Gothic" w:hAnsi="Century Gothic"/>
        </w:rPr>
        <w:t>s</w:t>
      </w:r>
      <w:r>
        <w:rPr>
          <w:rFonts w:ascii="Century Gothic" w:hAnsi="Century Gothic"/>
        </w:rPr>
        <w:t xml:space="preserve"> to which the declaration criteria applied.  </w:t>
      </w:r>
      <w:r w:rsidR="00E520F8">
        <w:rPr>
          <w:rFonts w:ascii="Century Gothic" w:hAnsi="Century Gothic"/>
        </w:rPr>
        <w:t xml:space="preserve">These projects are at the </w:t>
      </w:r>
      <w:r w:rsidR="004D07A8">
        <w:rPr>
          <w:rFonts w:ascii="Century Gothic" w:hAnsi="Century Gothic"/>
        </w:rPr>
        <w:t>preliminary</w:t>
      </w:r>
      <w:r w:rsidR="00E520F8">
        <w:rPr>
          <w:rFonts w:ascii="Century Gothic" w:hAnsi="Century Gothic"/>
        </w:rPr>
        <w:t xml:space="preserve"> stage</w:t>
      </w:r>
      <w:r w:rsidR="004D07A8">
        <w:rPr>
          <w:rFonts w:ascii="Century Gothic" w:hAnsi="Century Gothic"/>
        </w:rPr>
        <w:t>s</w:t>
      </w:r>
      <w:r w:rsidR="00E520F8">
        <w:rPr>
          <w:rFonts w:ascii="Century Gothic" w:hAnsi="Century Gothic"/>
        </w:rPr>
        <w:t xml:space="preserve">, with funding and </w:t>
      </w:r>
      <w:r w:rsidR="00B050F0">
        <w:rPr>
          <w:rFonts w:ascii="Century Gothic" w:hAnsi="Century Gothic"/>
        </w:rPr>
        <w:t xml:space="preserve">final </w:t>
      </w:r>
      <w:r w:rsidR="00E520F8">
        <w:rPr>
          <w:rFonts w:ascii="Century Gothic" w:hAnsi="Century Gothic"/>
        </w:rPr>
        <w:t xml:space="preserve">approvals awaited.  </w:t>
      </w:r>
      <w:r w:rsidR="001E6AB5">
        <w:rPr>
          <w:rFonts w:ascii="Century Gothic" w:hAnsi="Century Gothic"/>
        </w:rPr>
        <w:t xml:space="preserve">The </w:t>
      </w:r>
      <w:r>
        <w:rPr>
          <w:rFonts w:ascii="Century Gothic" w:hAnsi="Century Gothic"/>
        </w:rPr>
        <w:t xml:space="preserve">standard of compliance may vary </w:t>
      </w:r>
      <w:r w:rsidR="001E6AB5">
        <w:rPr>
          <w:rFonts w:ascii="Century Gothic" w:hAnsi="Century Gothic"/>
        </w:rPr>
        <w:t xml:space="preserve">in future </w:t>
      </w:r>
      <w:r>
        <w:rPr>
          <w:rFonts w:ascii="Century Gothic" w:hAnsi="Century Gothic"/>
        </w:rPr>
        <w:t>as additional capital projects are commenced.</w:t>
      </w:r>
    </w:p>
    <w:p w14:paraId="43D05EAD" w14:textId="77777777" w:rsidR="00EB5AB2" w:rsidRDefault="00EB5AB2">
      <w:pPr>
        <w:jc w:val="both"/>
        <w:rPr>
          <w:rFonts w:ascii="Century Gothic" w:hAnsi="Century Gothic"/>
        </w:rPr>
      </w:pPr>
    </w:p>
    <w:p w14:paraId="2BCCED83" w14:textId="38EA2AFF" w:rsidR="00EB5AB2" w:rsidRDefault="00EB5AB2">
      <w:pPr>
        <w:jc w:val="both"/>
        <w:rPr>
          <w:rFonts w:ascii="Century Gothic" w:hAnsi="Century Gothic"/>
        </w:rPr>
      </w:pPr>
      <w:r>
        <w:rPr>
          <w:rFonts w:ascii="Century Gothic" w:hAnsi="Century Gothic"/>
        </w:rPr>
        <w:t xml:space="preserve">For </w:t>
      </w:r>
      <w:r>
        <w:rPr>
          <w:rFonts w:ascii="Century Gothic" w:hAnsi="Century Gothic"/>
          <w:u w:val="single"/>
        </w:rPr>
        <w:t>Checklist 3</w:t>
      </w:r>
      <w:r>
        <w:rPr>
          <w:rFonts w:ascii="Century Gothic" w:hAnsi="Century Gothic"/>
        </w:rPr>
        <w:t xml:space="preserve"> – current expenditure being considered, there </w:t>
      </w:r>
      <w:r w:rsidR="00B94286">
        <w:rPr>
          <w:rFonts w:ascii="Century Gothic" w:hAnsi="Century Gothic"/>
        </w:rPr>
        <w:t>were five</w:t>
      </w:r>
      <w:r>
        <w:rPr>
          <w:rFonts w:ascii="Century Gothic" w:hAnsi="Century Gothic"/>
        </w:rPr>
        <w:t xml:space="preserve"> revenue pr</w:t>
      </w:r>
      <w:r w:rsidR="00CC18E9">
        <w:rPr>
          <w:rFonts w:ascii="Century Gothic" w:hAnsi="Century Gothic"/>
        </w:rPr>
        <w:t>ogramme</w:t>
      </w:r>
      <w:r w:rsidR="004E0FDC">
        <w:rPr>
          <w:rFonts w:ascii="Century Gothic" w:hAnsi="Century Gothic"/>
        </w:rPr>
        <w:t>s</w:t>
      </w:r>
      <w:r w:rsidR="00CC18E9">
        <w:rPr>
          <w:rFonts w:ascii="Century Gothic" w:hAnsi="Century Gothic"/>
        </w:rPr>
        <w:t xml:space="preserve"> to be declared for 20</w:t>
      </w:r>
      <w:r w:rsidR="0045230F">
        <w:rPr>
          <w:rFonts w:ascii="Century Gothic" w:hAnsi="Century Gothic"/>
        </w:rPr>
        <w:t>2</w:t>
      </w:r>
      <w:r w:rsidR="0006581E">
        <w:rPr>
          <w:rFonts w:ascii="Century Gothic" w:hAnsi="Century Gothic"/>
        </w:rPr>
        <w:t>2</w:t>
      </w:r>
      <w:r>
        <w:rPr>
          <w:rFonts w:ascii="Century Gothic" w:hAnsi="Century Gothic"/>
        </w:rPr>
        <w:t>.  New funding initiatives are usually commenced at a national</w:t>
      </w:r>
      <w:r w:rsidR="00CC18E9">
        <w:rPr>
          <w:rFonts w:ascii="Century Gothic" w:hAnsi="Century Gothic"/>
        </w:rPr>
        <w:t xml:space="preserve"> or regional</w:t>
      </w:r>
      <w:r w:rsidR="00137E2B">
        <w:rPr>
          <w:rFonts w:ascii="Century Gothic" w:hAnsi="Century Gothic"/>
        </w:rPr>
        <w:t xml:space="preserve"> level.</w:t>
      </w:r>
    </w:p>
    <w:p w14:paraId="6FC08C2F" w14:textId="77777777" w:rsidR="00C72436" w:rsidRDefault="00C72436">
      <w:pPr>
        <w:jc w:val="both"/>
        <w:rPr>
          <w:rFonts w:ascii="Century Gothic" w:hAnsi="Century Gothic"/>
        </w:rPr>
      </w:pPr>
    </w:p>
    <w:p w14:paraId="48CEDFDC" w14:textId="66FCB064" w:rsidR="00EB5AB2" w:rsidRDefault="00EB5AB2">
      <w:pPr>
        <w:jc w:val="both"/>
        <w:rPr>
          <w:rFonts w:ascii="Century Gothic" w:hAnsi="Century Gothic"/>
        </w:rPr>
      </w:pPr>
      <w:r>
        <w:rPr>
          <w:rFonts w:ascii="Century Gothic" w:hAnsi="Century Gothic"/>
          <w:u w:val="single"/>
        </w:rPr>
        <w:t>Checklist 4</w:t>
      </w:r>
      <w:r>
        <w:rPr>
          <w:rFonts w:ascii="Century Gothic" w:hAnsi="Century Gothic"/>
        </w:rPr>
        <w:t xml:space="preserve"> – capital expenditure incurred</w:t>
      </w:r>
      <w:r w:rsidR="00BB3794">
        <w:rPr>
          <w:rFonts w:ascii="Century Gothic" w:hAnsi="Century Gothic"/>
        </w:rPr>
        <w:t xml:space="preserve"> </w:t>
      </w:r>
      <w:r w:rsidR="001E6AB5">
        <w:rPr>
          <w:rFonts w:ascii="Century Gothic" w:hAnsi="Century Gothic"/>
        </w:rPr>
        <w:t>related to</w:t>
      </w:r>
      <w:r w:rsidR="00BB3794">
        <w:rPr>
          <w:rFonts w:ascii="Century Gothic" w:hAnsi="Century Gothic"/>
        </w:rPr>
        <w:t xml:space="preserve"> </w:t>
      </w:r>
      <w:r w:rsidR="00B94286">
        <w:rPr>
          <w:rFonts w:ascii="Century Gothic" w:hAnsi="Century Gothic"/>
        </w:rPr>
        <w:t>sixteen</w:t>
      </w:r>
      <w:r w:rsidR="00BB3794">
        <w:rPr>
          <w:rFonts w:ascii="Century Gothic" w:hAnsi="Century Gothic"/>
        </w:rPr>
        <w:t xml:space="preserve"> ongoing projects</w:t>
      </w:r>
      <w:r w:rsidR="001E6AB5">
        <w:rPr>
          <w:rFonts w:ascii="Century Gothic" w:hAnsi="Century Gothic"/>
        </w:rPr>
        <w:t xml:space="preserve"> in</w:t>
      </w:r>
      <w:r>
        <w:rPr>
          <w:rFonts w:ascii="Century Gothic" w:hAnsi="Century Gothic"/>
        </w:rPr>
        <w:t xml:space="preserve"> </w:t>
      </w:r>
      <w:r w:rsidR="00CC18E9">
        <w:rPr>
          <w:rFonts w:ascii="Century Gothic" w:hAnsi="Century Gothic"/>
        </w:rPr>
        <w:t>20</w:t>
      </w:r>
      <w:r w:rsidR="0045230F">
        <w:rPr>
          <w:rFonts w:ascii="Century Gothic" w:hAnsi="Century Gothic"/>
        </w:rPr>
        <w:t>2</w:t>
      </w:r>
      <w:r w:rsidR="0006581E">
        <w:rPr>
          <w:rFonts w:ascii="Century Gothic" w:hAnsi="Century Gothic"/>
        </w:rPr>
        <w:t>2</w:t>
      </w:r>
      <w:r w:rsidR="00B050F0">
        <w:rPr>
          <w:rFonts w:ascii="Century Gothic" w:hAnsi="Century Gothic"/>
        </w:rPr>
        <w:t>.  T</w:t>
      </w:r>
      <w:r w:rsidR="00BB3794" w:rsidRPr="003C328E">
        <w:rPr>
          <w:rFonts w:ascii="Century Gothic" w:hAnsi="Century Gothic"/>
        </w:rPr>
        <w:t xml:space="preserve">he </w:t>
      </w:r>
      <w:r w:rsidR="00B050F0">
        <w:rPr>
          <w:rFonts w:ascii="Century Gothic" w:hAnsi="Century Gothic"/>
        </w:rPr>
        <w:t xml:space="preserve">declared </w:t>
      </w:r>
      <w:r w:rsidR="00BB3794" w:rsidRPr="003C328E">
        <w:rPr>
          <w:rFonts w:ascii="Century Gothic" w:hAnsi="Century Gothic"/>
        </w:rPr>
        <w:t>standards</w:t>
      </w:r>
      <w:r w:rsidR="00BB3794">
        <w:rPr>
          <w:rFonts w:ascii="Century Gothic" w:hAnsi="Century Gothic"/>
        </w:rPr>
        <w:t xml:space="preserve"> may vary over time depending on the changing quantity </w:t>
      </w:r>
      <w:r w:rsidR="00CC18E9">
        <w:rPr>
          <w:rFonts w:ascii="Century Gothic" w:hAnsi="Century Gothic"/>
        </w:rPr>
        <w:t xml:space="preserve">and value </w:t>
      </w:r>
      <w:r w:rsidR="00BB3794">
        <w:rPr>
          <w:rFonts w:ascii="Century Gothic" w:hAnsi="Century Gothic"/>
        </w:rPr>
        <w:t xml:space="preserve">of capital </w:t>
      </w:r>
      <w:r w:rsidR="00B050F0">
        <w:rPr>
          <w:rFonts w:ascii="Century Gothic" w:hAnsi="Century Gothic"/>
        </w:rPr>
        <w:t>projects.</w:t>
      </w:r>
    </w:p>
    <w:p w14:paraId="436ECD45" w14:textId="77777777" w:rsidR="00EB5AB2" w:rsidRDefault="00EB5AB2">
      <w:pPr>
        <w:jc w:val="both"/>
        <w:rPr>
          <w:rFonts w:ascii="Century Gothic" w:hAnsi="Century Gothic"/>
        </w:rPr>
      </w:pPr>
    </w:p>
    <w:p w14:paraId="0CC59B73" w14:textId="77E25665" w:rsidR="00EB5AB2" w:rsidRDefault="00EB5AB2">
      <w:pPr>
        <w:jc w:val="both"/>
        <w:rPr>
          <w:rFonts w:ascii="Century Gothic" w:hAnsi="Century Gothic"/>
        </w:rPr>
      </w:pPr>
      <w:r>
        <w:rPr>
          <w:rFonts w:ascii="Century Gothic" w:hAnsi="Century Gothic"/>
        </w:rPr>
        <w:t xml:space="preserve">For </w:t>
      </w:r>
      <w:r>
        <w:rPr>
          <w:rFonts w:ascii="Century Gothic" w:hAnsi="Century Gothic"/>
          <w:u w:val="single"/>
        </w:rPr>
        <w:t>Checklist 5</w:t>
      </w:r>
      <w:r>
        <w:rPr>
          <w:rFonts w:ascii="Century Gothic" w:hAnsi="Century Gothic"/>
        </w:rPr>
        <w:t xml:space="preserve"> – current expenditure incurred during </w:t>
      </w:r>
      <w:r w:rsidR="00CC18E9">
        <w:rPr>
          <w:rFonts w:ascii="Century Gothic" w:hAnsi="Century Gothic"/>
        </w:rPr>
        <w:t>20</w:t>
      </w:r>
      <w:r w:rsidR="0045230F">
        <w:rPr>
          <w:rFonts w:ascii="Century Gothic" w:hAnsi="Century Gothic"/>
        </w:rPr>
        <w:t>2</w:t>
      </w:r>
      <w:r w:rsidR="0006581E">
        <w:rPr>
          <w:rFonts w:ascii="Century Gothic" w:hAnsi="Century Gothic"/>
        </w:rPr>
        <w:t>2</w:t>
      </w:r>
      <w:r>
        <w:rPr>
          <w:rFonts w:ascii="Century Gothic" w:hAnsi="Century Gothic"/>
        </w:rPr>
        <w:t xml:space="preserve">, the results are based on </w:t>
      </w:r>
      <w:r w:rsidR="00D80067">
        <w:rPr>
          <w:rFonts w:ascii="Century Gothic" w:hAnsi="Century Gothic"/>
        </w:rPr>
        <w:t>the average</w:t>
      </w:r>
      <w:r w:rsidR="00E520F8">
        <w:rPr>
          <w:rFonts w:ascii="Century Gothic" w:hAnsi="Century Gothic"/>
        </w:rPr>
        <w:t xml:space="preserve"> compliance</w:t>
      </w:r>
      <w:r w:rsidR="00D80067">
        <w:rPr>
          <w:rFonts w:ascii="Century Gothic" w:hAnsi="Century Gothic"/>
        </w:rPr>
        <w:t xml:space="preserve"> of the listed </w:t>
      </w:r>
      <w:r w:rsidR="00B94286">
        <w:rPr>
          <w:rFonts w:ascii="Century Gothic" w:hAnsi="Century Gothic"/>
        </w:rPr>
        <w:t>36</w:t>
      </w:r>
      <w:r>
        <w:rPr>
          <w:rFonts w:ascii="Century Gothic" w:hAnsi="Century Gothic"/>
        </w:rPr>
        <w:t xml:space="preserve"> </w:t>
      </w:r>
      <w:r w:rsidR="00CC18E9">
        <w:rPr>
          <w:rFonts w:ascii="Century Gothic" w:hAnsi="Century Gothic"/>
        </w:rPr>
        <w:t xml:space="preserve">service level </w:t>
      </w:r>
      <w:r>
        <w:rPr>
          <w:rFonts w:ascii="Century Gothic" w:hAnsi="Century Gothic"/>
        </w:rPr>
        <w:t>revenue programmes.</w:t>
      </w:r>
    </w:p>
    <w:p w14:paraId="13E933EA" w14:textId="77777777" w:rsidR="00EB5AB2" w:rsidRDefault="00EB5AB2">
      <w:pPr>
        <w:jc w:val="both"/>
        <w:rPr>
          <w:rFonts w:ascii="Century Gothic" w:hAnsi="Century Gothic"/>
        </w:rPr>
      </w:pPr>
    </w:p>
    <w:p w14:paraId="74796721" w14:textId="4F0E1299" w:rsidR="00EB5AB2" w:rsidRDefault="00EB5AB2">
      <w:pPr>
        <w:jc w:val="both"/>
        <w:rPr>
          <w:rFonts w:ascii="Century Gothic" w:hAnsi="Century Gothic"/>
        </w:rPr>
      </w:pPr>
      <w:r>
        <w:rPr>
          <w:rFonts w:ascii="Century Gothic" w:hAnsi="Century Gothic"/>
          <w:u w:val="single"/>
        </w:rPr>
        <w:t>Checklist 6</w:t>
      </w:r>
      <w:r>
        <w:rPr>
          <w:rFonts w:ascii="Century Gothic" w:hAnsi="Century Gothic"/>
        </w:rPr>
        <w:t xml:space="preserve"> – capital projects completed during </w:t>
      </w:r>
      <w:r w:rsidR="00CC18E9">
        <w:rPr>
          <w:rFonts w:ascii="Century Gothic" w:hAnsi="Century Gothic"/>
        </w:rPr>
        <w:t>20</w:t>
      </w:r>
      <w:r w:rsidR="0006581E">
        <w:rPr>
          <w:rFonts w:ascii="Century Gothic" w:hAnsi="Century Gothic"/>
        </w:rPr>
        <w:t>2</w:t>
      </w:r>
      <w:r w:rsidR="004E0FDC">
        <w:rPr>
          <w:rFonts w:ascii="Century Gothic" w:hAnsi="Century Gothic"/>
        </w:rPr>
        <w:t>2</w:t>
      </w:r>
      <w:r w:rsidR="00C164BF">
        <w:rPr>
          <w:rFonts w:ascii="Century Gothic" w:hAnsi="Century Gothic"/>
        </w:rPr>
        <w:t xml:space="preserve">, the checklist reveals that </w:t>
      </w:r>
      <w:r w:rsidR="00B94286">
        <w:rPr>
          <w:rFonts w:ascii="Century Gothic" w:hAnsi="Century Gothic"/>
        </w:rPr>
        <w:t>six</w:t>
      </w:r>
      <w:r w:rsidR="00C164BF">
        <w:rPr>
          <w:rFonts w:ascii="Century Gothic" w:hAnsi="Century Gothic"/>
        </w:rPr>
        <w:t xml:space="preserve"> of the projects reached conc</w:t>
      </w:r>
      <w:r w:rsidR="008C4447">
        <w:rPr>
          <w:rFonts w:ascii="Century Gothic" w:hAnsi="Century Gothic"/>
        </w:rPr>
        <w:t>lusion in 20</w:t>
      </w:r>
      <w:r w:rsidR="0045230F">
        <w:rPr>
          <w:rFonts w:ascii="Century Gothic" w:hAnsi="Century Gothic"/>
        </w:rPr>
        <w:t>2</w:t>
      </w:r>
      <w:r w:rsidR="0006581E">
        <w:rPr>
          <w:rFonts w:ascii="Century Gothic" w:hAnsi="Century Gothic"/>
        </w:rPr>
        <w:t>2</w:t>
      </w:r>
      <w:r w:rsidR="00C164BF">
        <w:rPr>
          <w:rFonts w:ascii="Century Gothic" w:hAnsi="Century Gothic"/>
        </w:rPr>
        <w:t>.</w:t>
      </w:r>
    </w:p>
    <w:p w14:paraId="707655FF" w14:textId="77777777" w:rsidR="00EB5AB2" w:rsidRDefault="00EB5AB2">
      <w:pPr>
        <w:jc w:val="both"/>
        <w:rPr>
          <w:rFonts w:ascii="Century Gothic" w:hAnsi="Century Gothic"/>
        </w:rPr>
      </w:pPr>
    </w:p>
    <w:p w14:paraId="06CDFEF7" w14:textId="245102D5" w:rsidR="00EB5AB2" w:rsidRPr="0006581E" w:rsidRDefault="00EB5AB2">
      <w:pPr>
        <w:jc w:val="both"/>
        <w:rPr>
          <w:rFonts w:ascii="Century Gothic" w:hAnsi="Century Gothic"/>
          <w:i/>
          <w:iCs/>
        </w:rPr>
      </w:pPr>
      <w:proofErr w:type="gramStart"/>
      <w:r>
        <w:rPr>
          <w:rFonts w:ascii="Century Gothic" w:hAnsi="Century Gothic"/>
        </w:rPr>
        <w:t>With regard to</w:t>
      </w:r>
      <w:proofErr w:type="gramEnd"/>
      <w:r>
        <w:rPr>
          <w:rFonts w:ascii="Century Gothic" w:hAnsi="Century Gothic"/>
        </w:rPr>
        <w:t xml:space="preserve"> </w:t>
      </w:r>
      <w:r>
        <w:rPr>
          <w:rFonts w:ascii="Century Gothic" w:hAnsi="Century Gothic"/>
          <w:u w:val="single"/>
        </w:rPr>
        <w:t>Checklist 7</w:t>
      </w:r>
      <w:r>
        <w:rPr>
          <w:rFonts w:ascii="Century Gothic" w:hAnsi="Century Gothic"/>
        </w:rPr>
        <w:t xml:space="preserve"> – </w:t>
      </w:r>
      <w:r w:rsidR="00D75EAE">
        <w:rPr>
          <w:rFonts w:ascii="Century Gothic" w:hAnsi="Century Gothic"/>
        </w:rPr>
        <w:t>there w</w:t>
      </w:r>
      <w:r w:rsidR="002207C9">
        <w:rPr>
          <w:rFonts w:ascii="Century Gothic" w:hAnsi="Century Gothic"/>
        </w:rPr>
        <w:t>as</w:t>
      </w:r>
      <w:r w:rsidR="00D75EAE">
        <w:rPr>
          <w:rFonts w:ascii="Century Gothic" w:hAnsi="Century Gothic"/>
        </w:rPr>
        <w:t xml:space="preserve"> </w:t>
      </w:r>
      <w:r w:rsidR="002207C9">
        <w:rPr>
          <w:rFonts w:ascii="Century Gothic" w:hAnsi="Century Gothic"/>
        </w:rPr>
        <w:t>no</w:t>
      </w:r>
      <w:r w:rsidR="00D75EAE">
        <w:rPr>
          <w:rFonts w:ascii="Century Gothic" w:hAnsi="Century Gothic"/>
        </w:rPr>
        <w:t xml:space="preserve"> </w:t>
      </w:r>
      <w:r>
        <w:rPr>
          <w:rFonts w:ascii="Century Gothic" w:hAnsi="Century Gothic"/>
        </w:rPr>
        <w:t xml:space="preserve">current expenditure programmes </w:t>
      </w:r>
      <w:r w:rsidR="00D75EAE">
        <w:rPr>
          <w:rFonts w:ascii="Century Gothic" w:hAnsi="Century Gothic"/>
        </w:rPr>
        <w:t>terminated</w:t>
      </w:r>
      <w:r>
        <w:rPr>
          <w:rFonts w:ascii="Century Gothic" w:hAnsi="Century Gothic"/>
        </w:rPr>
        <w:t xml:space="preserve"> during 20</w:t>
      </w:r>
      <w:r w:rsidR="0006581E">
        <w:rPr>
          <w:rFonts w:ascii="Century Gothic" w:hAnsi="Century Gothic"/>
        </w:rPr>
        <w:t>22</w:t>
      </w:r>
      <w:r w:rsidR="00D75EAE">
        <w:rPr>
          <w:rFonts w:ascii="Century Gothic" w:hAnsi="Century Gothic"/>
        </w:rPr>
        <w:t>.</w:t>
      </w:r>
    </w:p>
    <w:p w14:paraId="27BB0FCA" w14:textId="77777777" w:rsidR="00EB5AB2" w:rsidRDefault="00EB5AB2">
      <w:pPr>
        <w:jc w:val="both"/>
        <w:rPr>
          <w:rFonts w:ascii="Century Gothic" w:hAnsi="Century Gothic"/>
        </w:rPr>
      </w:pPr>
    </w:p>
    <w:p w14:paraId="7B6C2D2B" w14:textId="77777777" w:rsidR="002B5AEE" w:rsidRDefault="002B5AEE" w:rsidP="002B5AEE">
      <w:pPr>
        <w:jc w:val="both"/>
        <w:rPr>
          <w:rFonts w:ascii="Century Gothic" w:hAnsi="Century Gothic"/>
        </w:rPr>
      </w:pPr>
    </w:p>
    <w:p w14:paraId="4E598BDA" w14:textId="77777777" w:rsidR="00EB5AB2" w:rsidRDefault="00EB5AB2">
      <w:pPr>
        <w:jc w:val="both"/>
        <w:rPr>
          <w:rFonts w:ascii="Century Gothic" w:hAnsi="Century Gothic"/>
        </w:rPr>
      </w:pPr>
    </w:p>
    <w:p w14:paraId="134247ED" w14:textId="77777777" w:rsidR="00C164BF" w:rsidRDefault="00C164BF">
      <w:pPr>
        <w:jc w:val="both"/>
        <w:rPr>
          <w:rFonts w:ascii="Century Gothic" w:hAnsi="Century Gothic"/>
        </w:rPr>
      </w:pPr>
    </w:p>
    <w:p w14:paraId="70CDFD7A" w14:textId="77777777" w:rsidR="00C164BF" w:rsidRDefault="00C164BF">
      <w:pPr>
        <w:jc w:val="both"/>
        <w:rPr>
          <w:rFonts w:ascii="Century Gothic" w:hAnsi="Century Gothic"/>
        </w:rPr>
      </w:pPr>
    </w:p>
    <w:p w14:paraId="29821BDF" w14:textId="77777777" w:rsidR="00C164BF" w:rsidRDefault="00C164BF">
      <w:pPr>
        <w:jc w:val="both"/>
        <w:rPr>
          <w:rFonts w:ascii="Century Gothic" w:hAnsi="Century Gothic"/>
        </w:rPr>
      </w:pPr>
    </w:p>
    <w:p w14:paraId="7F73F8DF" w14:textId="77777777" w:rsidR="00C164BF" w:rsidRDefault="00C164BF">
      <w:pPr>
        <w:pStyle w:val="Heading4"/>
      </w:pPr>
    </w:p>
    <w:p w14:paraId="568DEB62" w14:textId="77777777" w:rsidR="0006581E" w:rsidRDefault="0006581E" w:rsidP="0006581E">
      <w:pPr>
        <w:rPr>
          <w:lang w:val="en-IE"/>
        </w:rPr>
      </w:pPr>
    </w:p>
    <w:p w14:paraId="09D13DC3" w14:textId="77777777" w:rsidR="00560407" w:rsidRDefault="00560407" w:rsidP="0006581E">
      <w:pPr>
        <w:rPr>
          <w:lang w:val="en-IE"/>
        </w:rPr>
      </w:pPr>
    </w:p>
    <w:p w14:paraId="6D6F52C0" w14:textId="77777777" w:rsidR="002207C9" w:rsidRPr="0006581E" w:rsidRDefault="002207C9" w:rsidP="0006581E">
      <w:pPr>
        <w:rPr>
          <w:lang w:val="en-IE"/>
        </w:rPr>
      </w:pPr>
    </w:p>
    <w:p w14:paraId="19412C8D" w14:textId="77777777" w:rsidR="00137E2B" w:rsidRDefault="00137E2B">
      <w:pPr>
        <w:pStyle w:val="Heading4"/>
      </w:pPr>
    </w:p>
    <w:p w14:paraId="63B0A17A" w14:textId="77777777" w:rsidR="00560407" w:rsidRPr="00560407" w:rsidRDefault="00560407" w:rsidP="00560407">
      <w:pPr>
        <w:rPr>
          <w:lang w:val="en-IE"/>
        </w:rPr>
      </w:pPr>
    </w:p>
    <w:p w14:paraId="7456E59A" w14:textId="77777777" w:rsidR="00EB5AB2" w:rsidRDefault="00EB5AB2">
      <w:pPr>
        <w:pStyle w:val="Heading4"/>
      </w:pPr>
      <w:r w:rsidRPr="00DD50A7">
        <w:lastRenderedPageBreak/>
        <w:t>Part D –</w:t>
      </w:r>
      <w:r>
        <w:t xml:space="preserve"> In-Depth Checks</w:t>
      </w:r>
    </w:p>
    <w:p w14:paraId="44B3309E" w14:textId="77777777" w:rsidR="00EB5AB2" w:rsidRDefault="00EB5AB2">
      <w:pPr>
        <w:jc w:val="both"/>
        <w:rPr>
          <w:rFonts w:ascii="Century Gothic" w:hAnsi="Century Gothic"/>
        </w:rPr>
      </w:pPr>
    </w:p>
    <w:p w14:paraId="295CF7FD" w14:textId="33413F50" w:rsidR="00EB5AB2" w:rsidRDefault="00EB5AB2">
      <w:pPr>
        <w:jc w:val="both"/>
        <w:rPr>
          <w:rFonts w:ascii="Century Gothic" w:hAnsi="Century Gothic"/>
        </w:rPr>
      </w:pPr>
      <w:r>
        <w:rPr>
          <w:rFonts w:ascii="Century Gothic" w:hAnsi="Century Gothic"/>
        </w:rPr>
        <w:t xml:space="preserve">The in-depth checks conducted by </w:t>
      </w:r>
      <w:proofErr w:type="spellStart"/>
      <w:r w:rsidR="0006581E">
        <w:rPr>
          <w:rFonts w:ascii="Century Gothic" w:hAnsi="Century Gothic"/>
        </w:rPr>
        <w:t>Crowleys</w:t>
      </w:r>
      <w:proofErr w:type="spellEnd"/>
      <w:r w:rsidR="0006581E">
        <w:rPr>
          <w:rFonts w:ascii="Century Gothic" w:hAnsi="Century Gothic"/>
        </w:rPr>
        <w:t xml:space="preserve"> DFK</w:t>
      </w:r>
      <w:r>
        <w:rPr>
          <w:rFonts w:ascii="Century Gothic" w:hAnsi="Century Gothic"/>
        </w:rPr>
        <w:t xml:space="preserve"> for th</w:t>
      </w:r>
      <w:r w:rsidR="00300230">
        <w:rPr>
          <w:rFonts w:ascii="Century Gothic" w:hAnsi="Century Gothic"/>
        </w:rPr>
        <w:t xml:space="preserve">e </w:t>
      </w:r>
      <w:r>
        <w:rPr>
          <w:rFonts w:ascii="Century Gothic" w:hAnsi="Century Gothic"/>
        </w:rPr>
        <w:t>Public Spending Code Quality Assurance report are based on audits</w:t>
      </w:r>
      <w:r w:rsidR="00020F17">
        <w:rPr>
          <w:rFonts w:ascii="Century Gothic" w:hAnsi="Century Gothic"/>
        </w:rPr>
        <w:t>, in-depth reviews</w:t>
      </w:r>
      <w:r w:rsidR="00ED1A7C">
        <w:rPr>
          <w:rFonts w:ascii="Century Gothic" w:hAnsi="Century Gothic"/>
        </w:rPr>
        <w:t>,</w:t>
      </w:r>
      <w:r>
        <w:rPr>
          <w:rFonts w:ascii="Century Gothic" w:hAnsi="Century Gothic"/>
        </w:rPr>
        <w:t xml:space="preserve"> </w:t>
      </w:r>
      <w:r w:rsidR="000F52C2">
        <w:rPr>
          <w:rFonts w:ascii="Century Gothic" w:hAnsi="Century Gothic"/>
        </w:rPr>
        <w:t>and staff interviews</w:t>
      </w:r>
      <w:r w:rsidR="00DB0B93">
        <w:rPr>
          <w:rFonts w:ascii="Century Gothic" w:hAnsi="Century Gothic"/>
        </w:rPr>
        <w:t>.</w:t>
      </w:r>
    </w:p>
    <w:p w14:paraId="68B3D40C" w14:textId="77777777" w:rsidR="00431930" w:rsidRDefault="00431930">
      <w:pPr>
        <w:jc w:val="both"/>
        <w:rPr>
          <w:rFonts w:ascii="Century Gothic" w:hAnsi="Century Gothic"/>
        </w:rPr>
      </w:pPr>
    </w:p>
    <w:p w14:paraId="43583A53" w14:textId="177E8128" w:rsidR="00431930" w:rsidRDefault="00431930">
      <w:pPr>
        <w:jc w:val="both"/>
        <w:rPr>
          <w:rFonts w:ascii="Century Gothic" w:hAnsi="Century Gothic"/>
        </w:rPr>
      </w:pPr>
      <w:r>
        <w:rPr>
          <w:rFonts w:ascii="Century Gothic" w:hAnsi="Century Gothic"/>
        </w:rPr>
        <w:t xml:space="preserve">Results from </w:t>
      </w:r>
      <w:proofErr w:type="spellStart"/>
      <w:r>
        <w:rPr>
          <w:rFonts w:ascii="Century Gothic" w:hAnsi="Century Gothic"/>
        </w:rPr>
        <w:t>Crowleys</w:t>
      </w:r>
      <w:proofErr w:type="spellEnd"/>
      <w:r>
        <w:rPr>
          <w:rFonts w:ascii="Century Gothic" w:hAnsi="Century Gothic"/>
        </w:rPr>
        <w:t xml:space="preserve"> DFK indicate that reasonable assurance can be placed on the sufficiency and operation of controls put in place by Galway City Council to comply with the Public Spending Cide and internal procurement controls to mitigate and/or manage key inherent risks.  Samples selected for review by Internal Audit consisted of 1 Capital project amounting to €4,100,000 and 2 Revenue Expenditures </w:t>
      </w:r>
      <w:r w:rsidR="00AC6049">
        <w:rPr>
          <w:rFonts w:ascii="Century Gothic" w:hAnsi="Century Gothic"/>
        </w:rPr>
        <w:t>amounting to €4,779,196.</w:t>
      </w:r>
    </w:p>
    <w:p w14:paraId="6EA26F89" w14:textId="77777777" w:rsidR="00EB5AB2" w:rsidRDefault="00EB5AB2">
      <w:pPr>
        <w:jc w:val="both"/>
        <w:rPr>
          <w:rFonts w:ascii="Century Gothic" w:hAnsi="Century Gothic"/>
        </w:rPr>
      </w:pPr>
    </w:p>
    <w:p w14:paraId="689DD7AC" w14:textId="21269A08" w:rsidR="00EB5AB2" w:rsidRPr="00431930" w:rsidRDefault="005A0B21">
      <w:pPr>
        <w:jc w:val="both"/>
        <w:rPr>
          <w:rFonts w:ascii="Century Gothic" w:hAnsi="Century Gothic"/>
          <w:i/>
          <w:iCs/>
        </w:rPr>
      </w:pPr>
      <w:r w:rsidRPr="00431930">
        <w:rPr>
          <w:rFonts w:ascii="Century Gothic" w:hAnsi="Century Gothic"/>
          <w:i/>
          <w:iCs/>
          <w:highlight w:val="cyan"/>
        </w:rPr>
        <w:t xml:space="preserve">The Public Spending Code listed the requirement to complete in-depth reviews of 15% Capital and 3% Revenue expenditures, averaged over the last </w:t>
      </w:r>
      <w:r w:rsidRPr="00431930">
        <w:rPr>
          <w:rFonts w:ascii="Century Gothic" w:hAnsi="Century Gothic"/>
          <w:i/>
          <w:iCs/>
          <w:highlight w:val="cyan"/>
          <w:u w:val="single"/>
        </w:rPr>
        <w:t>three years</w:t>
      </w:r>
      <w:r w:rsidRPr="00431930">
        <w:rPr>
          <w:rFonts w:ascii="Century Gothic" w:hAnsi="Century Gothic"/>
          <w:i/>
          <w:iCs/>
          <w:highlight w:val="cyan"/>
        </w:rPr>
        <w:t xml:space="preserve">.  </w:t>
      </w:r>
      <w:r w:rsidR="00EB5AB2" w:rsidRPr="00431930">
        <w:rPr>
          <w:rFonts w:ascii="Century Gothic" w:hAnsi="Century Gothic"/>
          <w:i/>
          <w:iCs/>
          <w:highlight w:val="cyan"/>
        </w:rPr>
        <w:t xml:space="preserve">The </w:t>
      </w:r>
      <w:r w:rsidR="00B82778" w:rsidRPr="00431930">
        <w:rPr>
          <w:rFonts w:ascii="Century Gothic" w:hAnsi="Century Gothic"/>
          <w:i/>
          <w:iCs/>
          <w:highlight w:val="cyan"/>
        </w:rPr>
        <w:t xml:space="preserve">in-depth </w:t>
      </w:r>
      <w:r w:rsidR="00EB5AB2" w:rsidRPr="00431930">
        <w:rPr>
          <w:rFonts w:ascii="Century Gothic" w:hAnsi="Century Gothic"/>
          <w:i/>
          <w:iCs/>
          <w:highlight w:val="cyan"/>
        </w:rPr>
        <w:t>checks analysed for</w:t>
      </w:r>
      <w:r w:rsidRPr="00431930">
        <w:rPr>
          <w:rFonts w:ascii="Century Gothic" w:hAnsi="Century Gothic"/>
          <w:i/>
          <w:iCs/>
          <w:highlight w:val="cyan"/>
        </w:rPr>
        <w:t xml:space="preserve"> the PSC</w:t>
      </w:r>
      <w:r w:rsidR="00EB5AB2" w:rsidRPr="00431930">
        <w:rPr>
          <w:rFonts w:ascii="Century Gothic" w:hAnsi="Century Gothic"/>
          <w:i/>
          <w:iCs/>
          <w:highlight w:val="cyan"/>
        </w:rPr>
        <w:t xml:space="preserve"> represented </w:t>
      </w:r>
      <w:r w:rsidR="00300230" w:rsidRPr="00431930">
        <w:rPr>
          <w:rFonts w:ascii="Century Gothic" w:hAnsi="Century Gothic"/>
          <w:b/>
          <w:i/>
          <w:iCs/>
          <w:highlight w:val="cyan"/>
        </w:rPr>
        <w:t>5</w:t>
      </w:r>
      <w:r w:rsidR="00C164BF" w:rsidRPr="00431930">
        <w:rPr>
          <w:rFonts w:ascii="Century Gothic" w:hAnsi="Century Gothic"/>
          <w:b/>
          <w:i/>
          <w:iCs/>
          <w:highlight w:val="cyan"/>
        </w:rPr>
        <w:t>.</w:t>
      </w:r>
      <w:r w:rsidR="00B82778" w:rsidRPr="00431930">
        <w:rPr>
          <w:rFonts w:ascii="Century Gothic" w:hAnsi="Century Gothic"/>
          <w:b/>
          <w:i/>
          <w:iCs/>
          <w:highlight w:val="cyan"/>
        </w:rPr>
        <w:t>4</w:t>
      </w:r>
      <w:r w:rsidR="004416CC" w:rsidRPr="00431930">
        <w:rPr>
          <w:rFonts w:ascii="Century Gothic" w:hAnsi="Century Gothic"/>
          <w:b/>
          <w:i/>
          <w:iCs/>
          <w:highlight w:val="cyan"/>
        </w:rPr>
        <w:t>%</w:t>
      </w:r>
      <w:r w:rsidR="004416CC" w:rsidRPr="00431930">
        <w:rPr>
          <w:rFonts w:ascii="Century Gothic" w:hAnsi="Century Gothic"/>
          <w:i/>
          <w:iCs/>
          <w:highlight w:val="cyan"/>
        </w:rPr>
        <w:t xml:space="preserve"> </w:t>
      </w:r>
      <w:r w:rsidR="00EB5AB2" w:rsidRPr="00431930">
        <w:rPr>
          <w:rFonts w:ascii="Century Gothic" w:hAnsi="Century Gothic"/>
          <w:i/>
          <w:iCs/>
          <w:highlight w:val="cyan"/>
        </w:rPr>
        <w:t xml:space="preserve">of Galway City Council’s declared </w:t>
      </w:r>
      <w:r w:rsidR="00182685" w:rsidRPr="00431930">
        <w:rPr>
          <w:rFonts w:ascii="Century Gothic" w:hAnsi="Century Gothic"/>
          <w:i/>
          <w:iCs/>
          <w:highlight w:val="cyan"/>
        </w:rPr>
        <w:t>Capital projects</w:t>
      </w:r>
      <w:r w:rsidR="00C164BF" w:rsidRPr="00431930">
        <w:rPr>
          <w:rFonts w:ascii="Century Gothic" w:hAnsi="Century Gothic"/>
          <w:i/>
          <w:iCs/>
          <w:highlight w:val="cyan"/>
        </w:rPr>
        <w:t>,</w:t>
      </w:r>
      <w:r w:rsidR="00CC18E9" w:rsidRPr="00431930">
        <w:rPr>
          <w:rFonts w:ascii="Century Gothic" w:hAnsi="Century Gothic"/>
          <w:i/>
          <w:iCs/>
          <w:highlight w:val="cyan"/>
        </w:rPr>
        <w:t xml:space="preserve"> and</w:t>
      </w:r>
      <w:r w:rsidR="00376730" w:rsidRPr="00431930">
        <w:rPr>
          <w:rFonts w:ascii="Century Gothic" w:hAnsi="Century Gothic"/>
          <w:i/>
          <w:iCs/>
          <w:highlight w:val="cyan"/>
        </w:rPr>
        <w:t xml:space="preserve"> </w:t>
      </w:r>
      <w:r w:rsidR="00E127D0" w:rsidRPr="00431930">
        <w:rPr>
          <w:rFonts w:ascii="Century Gothic" w:hAnsi="Century Gothic"/>
          <w:b/>
          <w:i/>
          <w:iCs/>
          <w:highlight w:val="cyan"/>
        </w:rPr>
        <w:t>15.9</w:t>
      </w:r>
      <w:r w:rsidR="00CC18E9" w:rsidRPr="00431930">
        <w:rPr>
          <w:rFonts w:ascii="Century Gothic" w:hAnsi="Century Gothic"/>
          <w:b/>
          <w:i/>
          <w:iCs/>
          <w:highlight w:val="cyan"/>
        </w:rPr>
        <w:t>%</w:t>
      </w:r>
      <w:r w:rsidRPr="00431930">
        <w:rPr>
          <w:rFonts w:ascii="Century Gothic" w:hAnsi="Century Gothic"/>
          <w:i/>
          <w:iCs/>
          <w:highlight w:val="cyan"/>
        </w:rPr>
        <w:t xml:space="preserve"> of </w:t>
      </w:r>
      <w:r w:rsidR="00300230" w:rsidRPr="00431930">
        <w:rPr>
          <w:rFonts w:ascii="Century Gothic" w:hAnsi="Century Gothic"/>
          <w:i/>
          <w:iCs/>
          <w:highlight w:val="cyan"/>
        </w:rPr>
        <w:t xml:space="preserve">the </w:t>
      </w:r>
      <w:r w:rsidRPr="00431930">
        <w:rPr>
          <w:rFonts w:ascii="Century Gothic" w:hAnsi="Century Gothic"/>
          <w:i/>
          <w:iCs/>
          <w:highlight w:val="cyan"/>
        </w:rPr>
        <w:t xml:space="preserve">Revenue </w:t>
      </w:r>
      <w:r w:rsidR="00182685" w:rsidRPr="00431930">
        <w:rPr>
          <w:rFonts w:ascii="Century Gothic" w:hAnsi="Century Gothic"/>
          <w:i/>
          <w:iCs/>
          <w:highlight w:val="cyan"/>
        </w:rPr>
        <w:t>S</w:t>
      </w:r>
      <w:r w:rsidRPr="00431930">
        <w:rPr>
          <w:rFonts w:ascii="Century Gothic" w:hAnsi="Century Gothic"/>
          <w:i/>
          <w:iCs/>
          <w:highlight w:val="cyan"/>
        </w:rPr>
        <w:t xml:space="preserve">ervice </w:t>
      </w:r>
      <w:r w:rsidR="00182685" w:rsidRPr="00431930">
        <w:rPr>
          <w:rFonts w:ascii="Century Gothic" w:hAnsi="Century Gothic"/>
          <w:i/>
          <w:iCs/>
          <w:highlight w:val="cyan"/>
        </w:rPr>
        <w:t>L</w:t>
      </w:r>
      <w:r w:rsidRPr="00431930">
        <w:rPr>
          <w:rFonts w:ascii="Century Gothic" w:hAnsi="Century Gothic"/>
          <w:i/>
          <w:iCs/>
          <w:highlight w:val="cyan"/>
        </w:rPr>
        <w:t>evels</w:t>
      </w:r>
      <w:r w:rsidR="00DD50A7" w:rsidRPr="00431930">
        <w:rPr>
          <w:rFonts w:ascii="Century Gothic" w:hAnsi="Century Gothic"/>
          <w:i/>
          <w:iCs/>
          <w:highlight w:val="cyan"/>
        </w:rPr>
        <w:t>,</w:t>
      </w:r>
      <w:r w:rsidR="00B82778" w:rsidRPr="00431930">
        <w:rPr>
          <w:rFonts w:ascii="Century Gothic" w:hAnsi="Century Gothic"/>
          <w:i/>
          <w:iCs/>
          <w:highlight w:val="cyan"/>
        </w:rPr>
        <w:t xml:space="preserve"> of the 202</w:t>
      </w:r>
      <w:r w:rsidR="00121913">
        <w:rPr>
          <w:rFonts w:ascii="Century Gothic" w:hAnsi="Century Gothic"/>
          <w:i/>
          <w:iCs/>
          <w:highlight w:val="cyan"/>
        </w:rPr>
        <w:t>1</w:t>
      </w:r>
      <w:r w:rsidR="00B82778" w:rsidRPr="00431930">
        <w:rPr>
          <w:rFonts w:ascii="Century Gothic" w:hAnsi="Century Gothic"/>
          <w:i/>
          <w:iCs/>
          <w:highlight w:val="cyan"/>
        </w:rPr>
        <w:t xml:space="preserve"> inventory.</w:t>
      </w:r>
    </w:p>
    <w:p w14:paraId="0A67D9E6" w14:textId="77777777" w:rsidR="00EB5AB2" w:rsidRDefault="00EB5AB2">
      <w:pPr>
        <w:jc w:val="both"/>
        <w:rPr>
          <w:rFonts w:ascii="Century Gothic" w:hAnsi="Century Gothic"/>
        </w:rPr>
      </w:pPr>
    </w:p>
    <w:p w14:paraId="4D1EFC0F" w14:textId="77777777" w:rsidR="00DB0B93" w:rsidRDefault="00DB0B93">
      <w:pPr>
        <w:jc w:val="both"/>
        <w:rPr>
          <w:rFonts w:ascii="Century Gothic" w:hAnsi="Century Gothic"/>
        </w:rPr>
      </w:pPr>
    </w:p>
    <w:p w14:paraId="38B8AB6F" w14:textId="77777777" w:rsidR="00EB5AB2" w:rsidRPr="002950A0" w:rsidRDefault="00EB5AB2">
      <w:pPr>
        <w:pStyle w:val="Heading4"/>
        <w:rPr>
          <w:i/>
          <w:lang w:val="en-GB"/>
        </w:rPr>
      </w:pPr>
      <w:r w:rsidRPr="00E17360">
        <w:rPr>
          <w:i/>
          <w:lang w:val="en-GB"/>
        </w:rPr>
        <w:t>Assessments</w:t>
      </w:r>
    </w:p>
    <w:p w14:paraId="1F958EF4" w14:textId="77777777" w:rsidR="00EB5AB2" w:rsidRPr="00583B1B" w:rsidRDefault="00EB5AB2">
      <w:pPr>
        <w:jc w:val="both"/>
        <w:rPr>
          <w:rFonts w:ascii="Century Gothic" w:hAnsi="Century Gothic"/>
          <w:i/>
          <w:sz w:val="20"/>
        </w:rPr>
      </w:pPr>
    </w:p>
    <w:p w14:paraId="4799E102" w14:textId="77777777" w:rsidR="00ED1A7C" w:rsidRPr="00ED1A7C" w:rsidRDefault="00ED1A7C" w:rsidP="00ED1A7C">
      <w:pPr>
        <w:jc w:val="both"/>
        <w:rPr>
          <w:rFonts w:ascii="Century Gothic" w:hAnsi="Century Gothic"/>
        </w:rPr>
      </w:pPr>
      <w:r w:rsidRPr="00ED1A7C">
        <w:rPr>
          <w:rFonts w:ascii="Century Gothic" w:hAnsi="Century Gothic"/>
        </w:rPr>
        <w:t>The annual Internal Audit Work Programme includes the requirement to conduct in-depth checks on sample projects and programmes, as part of the annual PSC Report to NOAC.</w:t>
      </w:r>
    </w:p>
    <w:p w14:paraId="7559F6AB" w14:textId="77777777" w:rsidR="00ED1A7C" w:rsidRDefault="00ED1A7C">
      <w:pPr>
        <w:jc w:val="both"/>
        <w:rPr>
          <w:rFonts w:ascii="Century Gothic" w:hAnsi="Century Gothic"/>
        </w:rPr>
      </w:pPr>
    </w:p>
    <w:p w14:paraId="1759025F" w14:textId="77777777" w:rsidR="00EB5AB2" w:rsidRPr="00ED1A7C" w:rsidRDefault="00EB5AB2">
      <w:pPr>
        <w:jc w:val="both"/>
        <w:rPr>
          <w:rFonts w:ascii="Century Gothic" w:hAnsi="Century Gothic"/>
        </w:rPr>
      </w:pPr>
      <w:r w:rsidRPr="00ED1A7C">
        <w:rPr>
          <w:rFonts w:ascii="Century Gothic" w:hAnsi="Century Gothic"/>
        </w:rPr>
        <w:t xml:space="preserve">The recurring </w:t>
      </w:r>
      <w:r w:rsidR="00ED1A7C">
        <w:rPr>
          <w:rFonts w:ascii="Century Gothic" w:hAnsi="Century Gothic"/>
        </w:rPr>
        <w:t>themes</w:t>
      </w:r>
      <w:r w:rsidRPr="00ED1A7C">
        <w:rPr>
          <w:rFonts w:ascii="Century Gothic" w:hAnsi="Century Gothic"/>
        </w:rPr>
        <w:t xml:space="preserve"> arising from in-depth reviews</w:t>
      </w:r>
      <w:r w:rsidR="00300230">
        <w:rPr>
          <w:rFonts w:ascii="Century Gothic" w:hAnsi="Century Gothic"/>
        </w:rPr>
        <w:t>, etc.</w:t>
      </w:r>
      <w:r w:rsidRPr="00ED1A7C">
        <w:rPr>
          <w:rFonts w:ascii="Century Gothic" w:hAnsi="Century Gothic"/>
        </w:rPr>
        <w:t xml:space="preserve"> </w:t>
      </w:r>
      <w:r w:rsidR="00ED1A7C">
        <w:rPr>
          <w:rFonts w:ascii="Century Gothic" w:hAnsi="Century Gothic"/>
        </w:rPr>
        <w:t>remain</w:t>
      </w:r>
      <w:r w:rsidR="00300230">
        <w:rPr>
          <w:rFonts w:ascii="Century Gothic" w:hAnsi="Century Gothic"/>
        </w:rPr>
        <w:t>s</w:t>
      </w:r>
      <w:r w:rsidRPr="00ED1A7C">
        <w:rPr>
          <w:rFonts w:ascii="Century Gothic" w:hAnsi="Century Gothic"/>
        </w:rPr>
        <w:t xml:space="preserve"> the </w:t>
      </w:r>
      <w:r w:rsidR="007B57C7" w:rsidRPr="00ED1A7C">
        <w:rPr>
          <w:rFonts w:ascii="Century Gothic" w:hAnsi="Century Gothic"/>
        </w:rPr>
        <w:t xml:space="preserve">ongoing </w:t>
      </w:r>
      <w:r w:rsidR="00B57290">
        <w:rPr>
          <w:rFonts w:ascii="Century Gothic" w:hAnsi="Century Gothic"/>
        </w:rPr>
        <w:t>benefits</w:t>
      </w:r>
      <w:r w:rsidRPr="00ED1A7C">
        <w:rPr>
          <w:rFonts w:ascii="Century Gothic" w:hAnsi="Century Gothic"/>
        </w:rPr>
        <w:t xml:space="preserve"> </w:t>
      </w:r>
      <w:r w:rsidR="00B57290">
        <w:rPr>
          <w:rFonts w:ascii="Century Gothic" w:hAnsi="Century Gothic"/>
        </w:rPr>
        <w:t>of</w:t>
      </w:r>
      <w:r w:rsidR="00A262D6" w:rsidRPr="00ED1A7C">
        <w:rPr>
          <w:rFonts w:ascii="Century Gothic" w:hAnsi="Century Gothic"/>
        </w:rPr>
        <w:t xml:space="preserve"> robust enforcement o</w:t>
      </w:r>
      <w:r w:rsidR="007B57C7" w:rsidRPr="00ED1A7C">
        <w:rPr>
          <w:rFonts w:ascii="Century Gothic" w:hAnsi="Century Gothic"/>
        </w:rPr>
        <w:t>f regulatory</w:t>
      </w:r>
      <w:r w:rsidR="00300230">
        <w:rPr>
          <w:rFonts w:ascii="Century Gothic" w:hAnsi="Century Gothic"/>
        </w:rPr>
        <w:t xml:space="preserve"> compliance, the advancement of Corporate Governance</w:t>
      </w:r>
      <w:r w:rsidR="00A9277B">
        <w:rPr>
          <w:rFonts w:ascii="Century Gothic" w:hAnsi="Century Gothic"/>
        </w:rPr>
        <w:t>,</w:t>
      </w:r>
      <w:r w:rsidR="00300230">
        <w:rPr>
          <w:rFonts w:ascii="Century Gothic" w:hAnsi="Century Gothic"/>
        </w:rPr>
        <w:t xml:space="preserve"> </w:t>
      </w:r>
      <w:r w:rsidR="00A9277B">
        <w:rPr>
          <w:rFonts w:ascii="Century Gothic" w:hAnsi="Century Gothic"/>
        </w:rPr>
        <w:t xml:space="preserve">the </w:t>
      </w:r>
      <w:r w:rsidR="00300230">
        <w:rPr>
          <w:rFonts w:ascii="Century Gothic" w:hAnsi="Century Gothic"/>
        </w:rPr>
        <w:t>enhance</w:t>
      </w:r>
      <w:r w:rsidR="00A9277B">
        <w:rPr>
          <w:rFonts w:ascii="Century Gothic" w:hAnsi="Century Gothic"/>
        </w:rPr>
        <w:t>ment of our</w:t>
      </w:r>
      <w:r w:rsidR="00300230">
        <w:rPr>
          <w:rFonts w:ascii="Century Gothic" w:hAnsi="Century Gothic"/>
        </w:rPr>
        <w:t xml:space="preserve"> Risk Management Strategies; and recording of our Operating Procedures.</w:t>
      </w:r>
    </w:p>
    <w:p w14:paraId="4CBCC0EA" w14:textId="77777777" w:rsidR="002950A0" w:rsidRPr="00ED1A7C" w:rsidRDefault="002950A0">
      <w:pPr>
        <w:jc w:val="both"/>
        <w:rPr>
          <w:rFonts w:ascii="Century Gothic" w:hAnsi="Century Gothic"/>
        </w:rPr>
      </w:pPr>
    </w:p>
    <w:p w14:paraId="0041B903" w14:textId="77777777" w:rsidR="00EB5AB2" w:rsidRPr="00ED1A7C" w:rsidRDefault="002950A0">
      <w:pPr>
        <w:jc w:val="both"/>
        <w:rPr>
          <w:rFonts w:ascii="Century Gothic" w:hAnsi="Century Gothic"/>
        </w:rPr>
      </w:pPr>
      <w:r w:rsidRPr="00ED1A7C">
        <w:rPr>
          <w:rFonts w:ascii="Century Gothic" w:hAnsi="Century Gothic"/>
        </w:rPr>
        <w:t>From the review</w:t>
      </w:r>
      <w:r w:rsidR="004416CC">
        <w:rPr>
          <w:rFonts w:ascii="Century Gothic" w:hAnsi="Century Gothic"/>
        </w:rPr>
        <w:t>s</w:t>
      </w:r>
      <w:r w:rsidRPr="00ED1A7C">
        <w:rPr>
          <w:rFonts w:ascii="Century Gothic" w:hAnsi="Century Gothic"/>
        </w:rPr>
        <w:t xml:space="preserve"> </w:t>
      </w:r>
      <w:r w:rsidR="00C164BF">
        <w:rPr>
          <w:rFonts w:ascii="Century Gothic" w:hAnsi="Century Gothic"/>
        </w:rPr>
        <w:t xml:space="preserve">previously </w:t>
      </w:r>
      <w:r w:rsidRPr="00ED1A7C">
        <w:rPr>
          <w:rFonts w:ascii="Century Gothic" w:hAnsi="Century Gothic"/>
        </w:rPr>
        <w:t xml:space="preserve">conducted by Internal Audit, there was an identified </w:t>
      </w:r>
      <w:r w:rsidR="00A9277B">
        <w:rPr>
          <w:rFonts w:ascii="Century Gothic" w:hAnsi="Century Gothic"/>
        </w:rPr>
        <w:t>issue</w:t>
      </w:r>
      <w:r w:rsidRPr="00ED1A7C">
        <w:rPr>
          <w:rFonts w:ascii="Century Gothic" w:hAnsi="Century Gothic"/>
        </w:rPr>
        <w:t xml:space="preserve"> </w:t>
      </w:r>
      <w:r w:rsidR="00A9277B">
        <w:rPr>
          <w:rFonts w:ascii="Century Gothic" w:hAnsi="Century Gothic"/>
        </w:rPr>
        <w:t>of</w:t>
      </w:r>
      <w:r w:rsidRPr="00ED1A7C">
        <w:rPr>
          <w:rFonts w:ascii="Century Gothic" w:hAnsi="Century Gothic"/>
        </w:rPr>
        <w:t xml:space="preserve"> </w:t>
      </w:r>
      <w:r w:rsidR="00A9277B">
        <w:rPr>
          <w:rFonts w:ascii="Century Gothic" w:hAnsi="Century Gothic"/>
        </w:rPr>
        <w:t xml:space="preserve">ensuring that </w:t>
      </w:r>
      <w:r w:rsidR="00300230">
        <w:rPr>
          <w:rFonts w:ascii="Century Gothic" w:hAnsi="Century Gothic"/>
        </w:rPr>
        <w:t xml:space="preserve">Project Completion Reports / </w:t>
      </w:r>
      <w:r w:rsidR="00E520F8">
        <w:rPr>
          <w:rFonts w:ascii="Century Gothic" w:hAnsi="Century Gothic"/>
        </w:rPr>
        <w:t>Post Project Review</w:t>
      </w:r>
      <w:r w:rsidR="00422976">
        <w:rPr>
          <w:rFonts w:ascii="Century Gothic" w:hAnsi="Century Gothic"/>
        </w:rPr>
        <w:t>s</w:t>
      </w:r>
      <w:r w:rsidR="00A9277B">
        <w:rPr>
          <w:rFonts w:ascii="Century Gothic" w:hAnsi="Century Gothic"/>
        </w:rPr>
        <w:t xml:space="preserve"> were being completed</w:t>
      </w:r>
      <w:r w:rsidR="00E520F8">
        <w:rPr>
          <w:rFonts w:ascii="Century Gothic" w:hAnsi="Century Gothic"/>
        </w:rPr>
        <w:t>, to record the lessons learned both positive and negative, as a means of influencing future decision making.</w:t>
      </w:r>
    </w:p>
    <w:p w14:paraId="7463600F" w14:textId="77777777" w:rsidR="00EB5AB2" w:rsidRPr="00ED1A7C" w:rsidRDefault="00EB5AB2">
      <w:pPr>
        <w:jc w:val="both"/>
        <w:rPr>
          <w:rFonts w:ascii="Century Gothic" w:hAnsi="Century Gothic"/>
        </w:rPr>
      </w:pPr>
    </w:p>
    <w:p w14:paraId="23691397" w14:textId="6B2CA005" w:rsidR="00EB5AB2" w:rsidRPr="00ED1A7C" w:rsidRDefault="00E520F8">
      <w:pPr>
        <w:jc w:val="both"/>
        <w:rPr>
          <w:rFonts w:ascii="Century Gothic" w:hAnsi="Century Gothic"/>
        </w:rPr>
      </w:pPr>
      <w:r>
        <w:rPr>
          <w:rFonts w:ascii="Century Gothic" w:hAnsi="Century Gothic"/>
        </w:rPr>
        <w:t>The need for PSC Training, especially with regards to new staff</w:t>
      </w:r>
      <w:r w:rsidR="00182685">
        <w:rPr>
          <w:rFonts w:ascii="Century Gothic" w:hAnsi="Century Gothic"/>
        </w:rPr>
        <w:t xml:space="preserve"> appointments and promotions</w:t>
      </w:r>
      <w:r>
        <w:rPr>
          <w:rFonts w:ascii="Century Gothic" w:hAnsi="Century Gothic"/>
        </w:rPr>
        <w:t xml:space="preserve">, </w:t>
      </w:r>
      <w:r w:rsidR="00E17360" w:rsidRPr="004C2946">
        <w:rPr>
          <w:rFonts w:ascii="Century Gothic" w:hAnsi="Century Gothic"/>
        </w:rPr>
        <w:t>has commenced during 20</w:t>
      </w:r>
      <w:r w:rsidR="004C2946">
        <w:rPr>
          <w:rFonts w:ascii="Century Gothic" w:hAnsi="Century Gothic"/>
        </w:rPr>
        <w:t>22</w:t>
      </w:r>
      <w:r w:rsidR="00E17360" w:rsidRPr="004C2946">
        <w:rPr>
          <w:rFonts w:ascii="Century Gothic" w:hAnsi="Century Gothic"/>
        </w:rPr>
        <w:t>1</w:t>
      </w:r>
      <w:r w:rsidRPr="004C2946">
        <w:rPr>
          <w:rFonts w:ascii="Century Gothic" w:hAnsi="Century Gothic"/>
        </w:rPr>
        <w:t>.</w:t>
      </w:r>
      <w:r w:rsidR="002A7548">
        <w:rPr>
          <w:rFonts w:ascii="Century Gothic" w:hAnsi="Century Gothic"/>
        </w:rPr>
        <w:t xml:space="preserve">  Also,</w:t>
      </w:r>
      <w:r w:rsidR="00B57290">
        <w:rPr>
          <w:rFonts w:ascii="Century Gothic" w:hAnsi="Century Gothic"/>
        </w:rPr>
        <w:t xml:space="preserve"> reviews to confirm </w:t>
      </w:r>
      <w:r w:rsidR="00300230">
        <w:rPr>
          <w:rFonts w:ascii="Century Gothic" w:hAnsi="Century Gothic"/>
        </w:rPr>
        <w:t xml:space="preserve">ongoing </w:t>
      </w:r>
      <w:r w:rsidR="00B57290">
        <w:rPr>
          <w:rFonts w:ascii="Century Gothic" w:hAnsi="Century Gothic"/>
        </w:rPr>
        <w:t>GDPR</w:t>
      </w:r>
      <w:r w:rsidR="00300230">
        <w:rPr>
          <w:rFonts w:ascii="Century Gothic" w:hAnsi="Century Gothic"/>
        </w:rPr>
        <w:t xml:space="preserve"> </w:t>
      </w:r>
      <w:r w:rsidR="00E17360">
        <w:rPr>
          <w:rFonts w:ascii="Century Gothic" w:hAnsi="Century Gothic"/>
        </w:rPr>
        <w:t xml:space="preserve">and FoI </w:t>
      </w:r>
      <w:r w:rsidR="00300230">
        <w:rPr>
          <w:rFonts w:ascii="Century Gothic" w:hAnsi="Century Gothic"/>
        </w:rPr>
        <w:t xml:space="preserve">compliance were identified as needing </w:t>
      </w:r>
      <w:r w:rsidR="00A9277B">
        <w:rPr>
          <w:rFonts w:ascii="Century Gothic" w:hAnsi="Century Gothic"/>
        </w:rPr>
        <w:t>attention</w:t>
      </w:r>
      <w:r w:rsidR="002A7548">
        <w:rPr>
          <w:rFonts w:ascii="Century Gothic" w:hAnsi="Century Gothic"/>
        </w:rPr>
        <w:t>.</w:t>
      </w:r>
    </w:p>
    <w:p w14:paraId="11215E8D" w14:textId="77777777" w:rsidR="002950A0" w:rsidRDefault="002950A0">
      <w:pPr>
        <w:jc w:val="both"/>
        <w:rPr>
          <w:rFonts w:ascii="Century Gothic" w:hAnsi="Century Gothic"/>
          <w:i/>
          <w:sz w:val="28"/>
          <w:szCs w:val="28"/>
        </w:rPr>
      </w:pPr>
    </w:p>
    <w:p w14:paraId="483500C4" w14:textId="77777777" w:rsidR="00DB0B93" w:rsidRPr="00583B1B" w:rsidRDefault="00DB0B93">
      <w:pPr>
        <w:jc w:val="both"/>
        <w:rPr>
          <w:rFonts w:ascii="Century Gothic" w:hAnsi="Century Gothic"/>
          <w:i/>
          <w:sz w:val="28"/>
          <w:szCs w:val="28"/>
        </w:rPr>
      </w:pPr>
    </w:p>
    <w:p w14:paraId="346B4C3A" w14:textId="77777777" w:rsidR="00EB5AB2" w:rsidRPr="00897717" w:rsidRDefault="00EB5AB2">
      <w:pPr>
        <w:pStyle w:val="Heading4"/>
        <w:rPr>
          <w:lang w:val="en-GB"/>
        </w:rPr>
      </w:pPr>
      <w:r w:rsidRPr="007C53CB">
        <w:rPr>
          <w:lang w:val="en-GB"/>
        </w:rPr>
        <w:t>Part E</w:t>
      </w:r>
      <w:r w:rsidRPr="00897717">
        <w:rPr>
          <w:lang w:val="en-GB"/>
        </w:rPr>
        <w:t xml:space="preserve"> – Addressing Quality Assurance Issues</w:t>
      </w:r>
    </w:p>
    <w:p w14:paraId="13580B90" w14:textId="77777777" w:rsidR="00EB5AB2" w:rsidRPr="00583B1B" w:rsidRDefault="00EB5AB2">
      <w:pPr>
        <w:rPr>
          <w:rFonts w:ascii="Century Gothic" w:hAnsi="Century Gothic"/>
          <w:i/>
          <w:sz w:val="20"/>
        </w:rPr>
      </w:pPr>
    </w:p>
    <w:p w14:paraId="33C05985" w14:textId="77777777" w:rsidR="00EB5AB2" w:rsidRPr="00ED1A7C" w:rsidRDefault="00EB5AB2">
      <w:pPr>
        <w:pStyle w:val="BodyText"/>
        <w:rPr>
          <w:lang w:val="en-GB"/>
        </w:rPr>
      </w:pPr>
      <w:r w:rsidRPr="00ED1A7C">
        <w:rPr>
          <w:lang w:val="en-GB"/>
        </w:rPr>
        <w:t xml:space="preserve">The Audit Committee </w:t>
      </w:r>
      <w:r w:rsidR="00020F17" w:rsidRPr="00ED1A7C">
        <w:rPr>
          <w:lang w:val="en-GB"/>
        </w:rPr>
        <w:t>continues to</w:t>
      </w:r>
      <w:r w:rsidRPr="00ED1A7C">
        <w:rPr>
          <w:lang w:val="en-GB"/>
        </w:rPr>
        <w:t xml:space="preserve"> examin</w:t>
      </w:r>
      <w:r w:rsidR="00020F17" w:rsidRPr="00ED1A7C">
        <w:rPr>
          <w:lang w:val="en-GB"/>
        </w:rPr>
        <w:t>e</w:t>
      </w:r>
      <w:r w:rsidRPr="00ED1A7C">
        <w:rPr>
          <w:lang w:val="en-GB"/>
        </w:rPr>
        <w:t xml:space="preserve"> the completeness of recorded Policies and Procedures </w:t>
      </w:r>
      <w:r w:rsidR="00020F17" w:rsidRPr="00ED1A7C">
        <w:rPr>
          <w:lang w:val="en-GB"/>
        </w:rPr>
        <w:t>within</w:t>
      </w:r>
      <w:r w:rsidRPr="00ED1A7C">
        <w:rPr>
          <w:lang w:val="en-GB"/>
        </w:rPr>
        <w:t xml:space="preserve"> Galway City Council.</w:t>
      </w:r>
    </w:p>
    <w:p w14:paraId="753724B8" w14:textId="77777777" w:rsidR="00EB5AB2" w:rsidRPr="00ED1A7C" w:rsidRDefault="00EB5AB2">
      <w:pPr>
        <w:rPr>
          <w:rFonts w:ascii="Century Gothic" w:hAnsi="Century Gothic"/>
          <w:highlight w:val="yellow"/>
        </w:rPr>
      </w:pPr>
    </w:p>
    <w:p w14:paraId="5F88AC24" w14:textId="77777777" w:rsidR="00EB5AB2" w:rsidRPr="00ED1A7C" w:rsidRDefault="00EB5AB2">
      <w:pPr>
        <w:pStyle w:val="BodyText"/>
        <w:rPr>
          <w:lang w:val="en-GB"/>
        </w:rPr>
      </w:pPr>
      <w:r w:rsidRPr="00121913">
        <w:rPr>
          <w:highlight w:val="cyan"/>
          <w:lang w:val="en-GB"/>
        </w:rPr>
        <w:t xml:space="preserve">The in-depth checks carried out on sampled programmes / projects revealed no </w:t>
      </w:r>
      <w:r w:rsidR="00020F17" w:rsidRPr="00121913">
        <w:rPr>
          <w:highlight w:val="cyan"/>
          <w:lang w:val="en-GB"/>
        </w:rPr>
        <w:t>substantive</w:t>
      </w:r>
      <w:r w:rsidRPr="00121913">
        <w:rPr>
          <w:highlight w:val="cyan"/>
          <w:lang w:val="en-GB"/>
        </w:rPr>
        <w:t xml:space="preserve"> issues that would cast doubt on the City Council’s compliance with the Code.</w:t>
      </w:r>
      <w:r w:rsidRPr="00FE4B81">
        <w:rPr>
          <w:lang w:val="en-GB"/>
        </w:rPr>
        <w:t xml:space="preserve">  It</w:t>
      </w:r>
      <w:r w:rsidRPr="00DB2D92">
        <w:rPr>
          <w:lang w:val="en-GB"/>
        </w:rPr>
        <w:t xml:space="preserve"> is acknowledged that </w:t>
      </w:r>
      <w:r w:rsidR="00E520F8" w:rsidRPr="00DB2D92">
        <w:rPr>
          <w:lang w:val="en-GB"/>
        </w:rPr>
        <w:t xml:space="preserve">ongoing </w:t>
      </w:r>
      <w:r w:rsidR="00300230" w:rsidRPr="00DB2D92">
        <w:rPr>
          <w:lang w:val="en-GB"/>
        </w:rPr>
        <w:t>training and attention</w:t>
      </w:r>
      <w:r w:rsidRPr="00DB2D92">
        <w:rPr>
          <w:lang w:val="en-GB"/>
        </w:rPr>
        <w:t xml:space="preserve"> </w:t>
      </w:r>
      <w:r w:rsidR="00020F17" w:rsidRPr="00DB2D92">
        <w:rPr>
          <w:lang w:val="en-GB"/>
        </w:rPr>
        <w:t>will be</w:t>
      </w:r>
      <w:r w:rsidRPr="00DB2D92">
        <w:rPr>
          <w:lang w:val="en-GB"/>
        </w:rPr>
        <w:t xml:space="preserve"> required to ensure </w:t>
      </w:r>
      <w:r w:rsidR="00E520F8" w:rsidRPr="00DB2D92">
        <w:rPr>
          <w:lang w:val="en-GB"/>
        </w:rPr>
        <w:t>complete</w:t>
      </w:r>
      <w:r w:rsidR="00020F17" w:rsidRPr="00DB2D92">
        <w:rPr>
          <w:lang w:val="en-GB"/>
        </w:rPr>
        <w:t xml:space="preserve"> </w:t>
      </w:r>
      <w:r w:rsidRPr="00DB2D92">
        <w:rPr>
          <w:lang w:val="en-GB"/>
        </w:rPr>
        <w:t>compliance with the Public Spending Code.</w:t>
      </w:r>
    </w:p>
    <w:sectPr w:rsidR="00EB5AB2" w:rsidRPr="00ED1A7C" w:rsidSect="00337365">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65D3" w14:textId="77777777" w:rsidR="000E2B92" w:rsidRDefault="000E2B92">
      <w:r>
        <w:separator/>
      </w:r>
    </w:p>
  </w:endnote>
  <w:endnote w:type="continuationSeparator" w:id="0">
    <w:p w14:paraId="1AD6B59D" w14:textId="77777777" w:rsidR="000E2B92" w:rsidRDefault="000E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2EC5" w14:textId="77777777" w:rsidR="000E2B92" w:rsidRDefault="000E2B92">
    <w:pPr>
      <w:framePr w:wrap="around" w:vAnchor="text" w:hAnchor="margin" w:xAlign="center" w:y="1"/>
      <w:rPr>
        <w:rStyle w:val="NoSpacingChar"/>
      </w:rPr>
    </w:pPr>
    <w:r>
      <w:rPr>
        <w:rStyle w:val="NoSpacingChar"/>
      </w:rPr>
      <w:fldChar w:fldCharType="begin"/>
    </w:r>
    <w:r>
      <w:rPr>
        <w:rStyle w:val="NoSpacingChar"/>
      </w:rPr>
      <w:instrText xml:space="preserve">PAGE  </w:instrText>
    </w:r>
    <w:r>
      <w:rPr>
        <w:rStyle w:val="NoSpacingChar"/>
      </w:rPr>
      <w:fldChar w:fldCharType="separate"/>
    </w:r>
    <w:r>
      <w:rPr>
        <w:rStyle w:val="NoSpacingChar"/>
        <w:noProof/>
      </w:rPr>
      <w:t>1</w:t>
    </w:r>
    <w:r>
      <w:rPr>
        <w:rStyle w:val="NoSpacingChar"/>
      </w:rPr>
      <w:fldChar w:fldCharType="end"/>
    </w:r>
  </w:p>
  <w:p w14:paraId="07B4E947" w14:textId="77777777" w:rsidR="000E2B92" w:rsidRDefault="000E2B9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81EE" w14:textId="77777777" w:rsidR="000E2B92" w:rsidRDefault="000E2B92">
    <w:pPr>
      <w:ind w:right="360"/>
      <w:jc w:val="center"/>
      <w:rPr>
        <w:rFonts w:ascii="Century Gothic" w:hAnsi="Century Gothic"/>
        <w:sz w:val="20"/>
      </w:rPr>
    </w:pPr>
    <w:r>
      <w:rPr>
        <w:rStyle w:val="NoSpacingChar"/>
        <w:rFonts w:ascii="Century Gothic" w:hAnsi="Century Gothic"/>
        <w:sz w:val="20"/>
      </w:rPr>
      <w:fldChar w:fldCharType="begin"/>
    </w:r>
    <w:r>
      <w:rPr>
        <w:rStyle w:val="NoSpacingChar"/>
        <w:rFonts w:ascii="Century Gothic" w:hAnsi="Century Gothic"/>
        <w:sz w:val="20"/>
      </w:rPr>
      <w:instrText xml:space="preserve"> PAGE </w:instrText>
    </w:r>
    <w:r>
      <w:rPr>
        <w:rStyle w:val="NoSpacingChar"/>
        <w:rFonts w:ascii="Century Gothic" w:hAnsi="Century Gothic"/>
        <w:sz w:val="20"/>
      </w:rPr>
      <w:fldChar w:fldCharType="separate"/>
    </w:r>
    <w:r w:rsidR="00F524BB">
      <w:rPr>
        <w:rStyle w:val="NoSpacingChar"/>
        <w:rFonts w:ascii="Century Gothic" w:hAnsi="Century Gothic"/>
        <w:noProof/>
        <w:sz w:val="20"/>
      </w:rPr>
      <w:t>2</w:t>
    </w:r>
    <w:r>
      <w:rPr>
        <w:rStyle w:val="NoSpacingChar"/>
        <w:rFonts w:ascii="Century Gothic" w:hAnsi="Century Gothic"/>
        <w:sz w:val="20"/>
      </w:rPr>
      <w:fldChar w:fldCharType="end"/>
    </w:r>
    <w:r>
      <w:rPr>
        <w:rStyle w:val="NoSpacingChar"/>
        <w:rFonts w:ascii="Century Gothic" w:hAnsi="Century Gothic"/>
        <w:sz w:val="20"/>
      </w:rPr>
      <w:t xml:space="preserve"> of </w:t>
    </w:r>
    <w:r>
      <w:rPr>
        <w:rStyle w:val="NoSpacingChar"/>
        <w:rFonts w:ascii="Century Gothic" w:hAnsi="Century Gothic"/>
        <w:sz w:val="20"/>
      </w:rPr>
      <w:fldChar w:fldCharType="begin"/>
    </w:r>
    <w:r>
      <w:rPr>
        <w:rStyle w:val="NoSpacingChar"/>
        <w:rFonts w:ascii="Century Gothic" w:hAnsi="Century Gothic"/>
        <w:sz w:val="20"/>
      </w:rPr>
      <w:instrText xml:space="preserve">  NUMPAGES</w:instrText>
    </w:r>
    <w:r>
      <w:rPr>
        <w:rStyle w:val="NoSpacingChar"/>
        <w:rFonts w:ascii="Century Gothic" w:hAnsi="Century Gothic"/>
        <w:sz w:val="20"/>
      </w:rPr>
      <w:fldChar w:fldCharType="separate"/>
    </w:r>
    <w:r w:rsidR="00F524BB">
      <w:rPr>
        <w:rStyle w:val="NoSpacingChar"/>
        <w:rFonts w:ascii="Century Gothic" w:hAnsi="Century Gothic"/>
        <w:noProof/>
        <w:sz w:val="20"/>
      </w:rPr>
      <w:t>20</w:t>
    </w:r>
    <w:r>
      <w:rPr>
        <w:rStyle w:val="NoSpacingChar"/>
        <w:rFonts w:ascii="Century Gothic" w:hAnsi="Century Gothic"/>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1C44" w14:textId="77777777" w:rsidR="000E2B92" w:rsidRDefault="000E2B92" w:rsidP="00861351">
    <w:pPr>
      <w:ind w:right="360"/>
      <w:jc w:val="center"/>
      <w:rPr>
        <w:rFonts w:ascii="Century Gothic" w:hAnsi="Century Gothic"/>
        <w:sz w:val="20"/>
      </w:rPr>
    </w:pPr>
    <w:r>
      <w:rPr>
        <w:rStyle w:val="NoSpacingChar"/>
        <w:rFonts w:ascii="Century Gothic" w:hAnsi="Century Gothic"/>
        <w:sz w:val="20"/>
      </w:rPr>
      <w:fldChar w:fldCharType="begin"/>
    </w:r>
    <w:r>
      <w:rPr>
        <w:rStyle w:val="NoSpacingChar"/>
        <w:rFonts w:ascii="Century Gothic" w:hAnsi="Century Gothic"/>
        <w:sz w:val="20"/>
      </w:rPr>
      <w:instrText xml:space="preserve"> PAGE </w:instrText>
    </w:r>
    <w:r>
      <w:rPr>
        <w:rStyle w:val="NoSpacingChar"/>
        <w:rFonts w:ascii="Century Gothic" w:hAnsi="Century Gothic"/>
        <w:sz w:val="20"/>
      </w:rPr>
      <w:fldChar w:fldCharType="separate"/>
    </w:r>
    <w:r w:rsidR="00F524BB">
      <w:rPr>
        <w:rStyle w:val="NoSpacingChar"/>
        <w:rFonts w:ascii="Century Gothic" w:hAnsi="Century Gothic"/>
        <w:noProof/>
        <w:sz w:val="20"/>
      </w:rPr>
      <w:t>1</w:t>
    </w:r>
    <w:r>
      <w:rPr>
        <w:rStyle w:val="NoSpacingChar"/>
        <w:rFonts w:ascii="Century Gothic" w:hAnsi="Century Gothic"/>
        <w:sz w:val="20"/>
      </w:rPr>
      <w:fldChar w:fldCharType="end"/>
    </w:r>
    <w:r>
      <w:rPr>
        <w:rStyle w:val="NoSpacingChar"/>
        <w:rFonts w:ascii="Century Gothic" w:hAnsi="Century Gothic"/>
        <w:sz w:val="20"/>
      </w:rPr>
      <w:t xml:space="preserve"> of </w:t>
    </w:r>
    <w:r>
      <w:rPr>
        <w:rStyle w:val="NoSpacingChar"/>
        <w:rFonts w:ascii="Century Gothic" w:hAnsi="Century Gothic"/>
        <w:sz w:val="20"/>
      </w:rPr>
      <w:fldChar w:fldCharType="begin"/>
    </w:r>
    <w:r>
      <w:rPr>
        <w:rStyle w:val="NoSpacingChar"/>
        <w:rFonts w:ascii="Century Gothic" w:hAnsi="Century Gothic"/>
        <w:sz w:val="20"/>
      </w:rPr>
      <w:instrText xml:space="preserve">  NUMPAGES</w:instrText>
    </w:r>
    <w:r>
      <w:rPr>
        <w:rStyle w:val="NoSpacingChar"/>
        <w:rFonts w:ascii="Century Gothic" w:hAnsi="Century Gothic"/>
        <w:sz w:val="20"/>
      </w:rPr>
      <w:fldChar w:fldCharType="separate"/>
    </w:r>
    <w:r w:rsidR="00F524BB">
      <w:rPr>
        <w:rStyle w:val="NoSpacingChar"/>
        <w:rFonts w:ascii="Century Gothic" w:hAnsi="Century Gothic"/>
        <w:noProof/>
        <w:sz w:val="20"/>
      </w:rPr>
      <w:t>20</w:t>
    </w:r>
    <w:r>
      <w:rPr>
        <w:rStyle w:val="NoSpacingChar"/>
        <w:rFonts w:ascii="Century Gothic" w:hAnsi="Century Gothic"/>
        <w:sz w:val="20"/>
      </w:rPr>
      <w:fldChar w:fldCharType="end"/>
    </w:r>
  </w:p>
  <w:p w14:paraId="5D213664" w14:textId="77777777" w:rsidR="000E2B92" w:rsidRDefault="000E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91BB" w14:textId="77777777" w:rsidR="000E2B92" w:rsidRDefault="000E2B92">
      <w:r>
        <w:separator/>
      </w:r>
    </w:p>
  </w:footnote>
  <w:footnote w:type="continuationSeparator" w:id="0">
    <w:p w14:paraId="67A008C9" w14:textId="77777777" w:rsidR="000E2B92" w:rsidRDefault="000E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ECEB" w14:textId="77777777" w:rsidR="000E2B92" w:rsidRDefault="000E2B92">
    <w:pPr>
      <w:pStyle w:val="Footer"/>
    </w:pPr>
    <w:r>
      <w:rPr>
        <w:rStyle w:val="NoSpacingChar"/>
      </w:rPr>
      <w:fldChar w:fldCharType="begin"/>
    </w:r>
    <w:r>
      <w:rPr>
        <w:rStyle w:val="NoSpacingChar"/>
      </w:rPr>
      <w:instrText xml:space="preserve"> NUMPAGES </w:instrText>
    </w:r>
    <w:r>
      <w:rPr>
        <w:rStyle w:val="NoSpacingChar"/>
      </w:rPr>
      <w:fldChar w:fldCharType="separate"/>
    </w:r>
    <w:r>
      <w:rPr>
        <w:rStyle w:val="NoSpacingChar"/>
        <w:noProof/>
      </w:rPr>
      <w:t>1</w:t>
    </w:r>
    <w:r>
      <w:rPr>
        <w:rStyle w:val="NoSpacingChar"/>
      </w:rPr>
      <w:fldChar w:fldCharType="end"/>
    </w:r>
    <w:r>
      <w:rPr>
        <w:rStyle w:val="NoSpacingChar"/>
      </w:rPr>
      <w:fldChar w:fldCharType="begin"/>
    </w:r>
    <w:r>
      <w:rPr>
        <w:rStyle w:val="NoSpacingChar"/>
      </w:rPr>
      <w:instrText xml:space="preserve"> NUMPAGES </w:instrText>
    </w:r>
    <w:r>
      <w:rPr>
        <w:rStyle w:val="NoSpacingChar"/>
      </w:rPr>
      <w:fldChar w:fldCharType="separate"/>
    </w:r>
    <w:r>
      <w:rPr>
        <w:rStyle w:val="NoSpacingChar"/>
        <w:noProof/>
      </w:rPr>
      <w:t>1</w:t>
    </w:r>
    <w:r>
      <w:rPr>
        <w:rStyle w:val="NoSpacingCha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3DBE"/>
    <w:multiLevelType w:val="singleLevel"/>
    <w:tmpl w:val="51A215F4"/>
    <w:lvl w:ilvl="0">
      <w:numFmt w:val="decimal"/>
      <w:lvlText w:val="%1."/>
      <w:lvlJc w:val="left"/>
      <w:pPr>
        <w:tabs>
          <w:tab w:val="num" w:pos="1110"/>
        </w:tabs>
        <w:ind w:left="1110" w:hanging="390"/>
      </w:pPr>
      <w:rPr>
        <w:b/>
        <w:i w:val="0"/>
      </w:rPr>
    </w:lvl>
  </w:abstractNum>
  <w:abstractNum w:abstractNumId="1" w15:restartNumberingAfterBreak="0">
    <w:nsid w:val="227C33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F44CA"/>
    <w:multiLevelType w:val="hybridMultilevel"/>
    <w:tmpl w:val="066CC50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32604F17"/>
    <w:multiLevelType w:val="multilevel"/>
    <w:tmpl w:val="E91C6772"/>
    <w:lvl w:ilvl="0">
      <w:start w:val="1"/>
      <w:numFmt w:val="lowerLetter"/>
      <w:lvlText w:val="(%1)"/>
      <w:lvlJc w:val="left"/>
      <w:pPr>
        <w:ind w:left="720" w:hanging="360"/>
      </w:pPr>
      <w:rPr>
        <w:rFonts w:hint="default"/>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2953B2"/>
    <w:multiLevelType w:val="hybridMultilevel"/>
    <w:tmpl w:val="69C4F492"/>
    <w:lvl w:ilvl="0" w:tplc="009E25B2">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5" w15:restartNumberingAfterBreak="0">
    <w:nsid w:val="3B69585A"/>
    <w:multiLevelType w:val="hybridMultilevel"/>
    <w:tmpl w:val="936ABF30"/>
    <w:lvl w:ilvl="0" w:tplc="18090003">
      <w:start w:val="1"/>
      <w:numFmt w:val="bullet"/>
      <w:lvlText w:val="o"/>
      <w:lvlJc w:val="left"/>
      <w:pPr>
        <w:ind w:left="720" w:hanging="360"/>
      </w:pPr>
      <w:rPr>
        <w:rFonts w:ascii="Courier New" w:hAnsi="Courier New"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6225037"/>
    <w:multiLevelType w:val="singleLevel"/>
    <w:tmpl w:val="F24042A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54E6254"/>
    <w:multiLevelType w:val="hybridMultilevel"/>
    <w:tmpl w:val="170A5F9C"/>
    <w:lvl w:ilvl="0" w:tplc="18090009">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8F5B77"/>
    <w:multiLevelType w:val="singleLevel"/>
    <w:tmpl w:val="6AA22C72"/>
    <w:lvl w:ilvl="0">
      <w:start w:val="1"/>
      <w:numFmt w:val="decimal"/>
      <w:lvlText w:val="%1."/>
      <w:lvlJc w:val="left"/>
      <w:pPr>
        <w:tabs>
          <w:tab w:val="num" w:pos="570"/>
        </w:tabs>
        <w:ind w:left="570" w:hanging="570"/>
      </w:pPr>
      <w:rPr>
        <w:rFonts w:hint="default"/>
        <w:b/>
      </w:rPr>
    </w:lvl>
  </w:abstractNum>
  <w:abstractNum w:abstractNumId="9" w15:restartNumberingAfterBreak="0">
    <w:nsid w:val="79CC6175"/>
    <w:multiLevelType w:val="singleLevel"/>
    <w:tmpl w:val="0809000F"/>
    <w:lvl w:ilvl="0">
      <w:start w:val="1"/>
      <w:numFmt w:val="decimal"/>
      <w:lvlText w:val="%1."/>
      <w:lvlJc w:val="left"/>
      <w:pPr>
        <w:tabs>
          <w:tab w:val="num" w:pos="360"/>
        </w:tabs>
        <w:ind w:left="360" w:hanging="360"/>
      </w:pPr>
    </w:lvl>
  </w:abstractNum>
  <w:num w:numId="1" w16cid:durableId="646251418">
    <w:abstractNumId w:val="8"/>
  </w:num>
  <w:num w:numId="2" w16cid:durableId="1295059290">
    <w:abstractNumId w:val="6"/>
  </w:num>
  <w:num w:numId="3" w16cid:durableId="1628195780">
    <w:abstractNumId w:val="1"/>
  </w:num>
  <w:num w:numId="4" w16cid:durableId="2106536767">
    <w:abstractNumId w:val="0"/>
  </w:num>
  <w:num w:numId="5" w16cid:durableId="1925458157">
    <w:abstractNumId w:val="3"/>
  </w:num>
  <w:num w:numId="6" w16cid:durableId="848712020">
    <w:abstractNumId w:val="9"/>
  </w:num>
  <w:num w:numId="7" w16cid:durableId="2055884853">
    <w:abstractNumId w:val="2"/>
  </w:num>
  <w:num w:numId="8" w16cid:durableId="2044288757">
    <w:abstractNumId w:val="4"/>
  </w:num>
  <w:num w:numId="9" w16cid:durableId="147477774">
    <w:abstractNumId w:val="7"/>
  </w:num>
  <w:num w:numId="10" w16cid:durableId="1886595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35"/>
    <w:rsid w:val="00012093"/>
    <w:rsid w:val="00020F17"/>
    <w:rsid w:val="00022DC3"/>
    <w:rsid w:val="000446E0"/>
    <w:rsid w:val="00046757"/>
    <w:rsid w:val="00054681"/>
    <w:rsid w:val="00060962"/>
    <w:rsid w:val="00060EC0"/>
    <w:rsid w:val="0006581E"/>
    <w:rsid w:val="00085360"/>
    <w:rsid w:val="00090E04"/>
    <w:rsid w:val="00095B3A"/>
    <w:rsid w:val="000A7DBC"/>
    <w:rsid w:val="000B3F42"/>
    <w:rsid w:val="000B521E"/>
    <w:rsid w:val="000C68DF"/>
    <w:rsid w:val="000E2B92"/>
    <w:rsid w:val="000E40C8"/>
    <w:rsid w:val="000E4A8D"/>
    <w:rsid w:val="000E4F1F"/>
    <w:rsid w:val="000E564B"/>
    <w:rsid w:val="000E6223"/>
    <w:rsid w:val="000E72EE"/>
    <w:rsid w:val="000F52C2"/>
    <w:rsid w:val="000F5C56"/>
    <w:rsid w:val="00107248"/>
    <w:rsid w:val="0010771D"/>
    <w:rsid w:val="00121913"/>
    <w:rsid w:val="00130CC2"/>
    <w:rsid w:val="00137E2B"/>
    <w:rsid w:val="00154304"/>
    <w:rsid w:val="0016141B"/>
    <w:rsid w:val="00161592"/>
    <w:rsid w:val="00170949"/>
    <w:rsid w:val="00180B25"/>
    <w:rsid w:val="00182042"/>
    <w:rsid w:val="00182685"/>
    <w:rsid w:val="00186B00"/>
    <w:rsid w:val="00197F63"/>
    <w:rsid w:val="001A04E5"/>
    <w:rsid w:val="001D1138"/>
    <w:rsid w:val="001D1AF2"/>
    <w:rsid w:val="001D1C82"/>
    <w:rsid w:val="001D7E17"/>
    <w:rsid w:val="001E6AB5"/>
    <w:rsid w:val="0020209B"/>
    <w:rsid w:val="00206478"/>
    <w:rsid w:val="0020764C"/>
    <w:rsid w:val="002076C0"/>
    <w:rsid w:val="002207C9"/>
    <w:rsid w:val="00237DBF"/>
    <w:rsid w:val="00241DAA"/>
    <w:rsid w:val="00242A59"/>
    <w:rsid w:val="00243E4A"/>
    <w:rsid w:val="00251CE5"/>
    <w:rsid w:val="00257442"/>
    <w:rsid w:val="00270260"/>
    <w:rsid w:val="00272372"/>
    <w:rsid w:val="002903D3"/>
    <w:rsid w:val="00291EC4"/>
    <w:rsid w:val="002950A0"/>
    <w:rsid w:val="002A555A"/>
    <w:rsid w:val="002A7548"/>
    <w:rsid w:val="002B5AEE"/>
    <w:rsid w:val="002C3356"/>
    <w:rsid w:val="002C365E"/>
    <w:rsid w:val="002C4B4E"/>
    <w:rsid w:val="002E25BC"/>
    <w:rsid w:val="002F302D"/>
    <w:rsid w:val="002F3331"/>
    <w:rsid w:val="00300230"/>
    <w:rsid w:val="00305DAF"/>
    <w:rsid w:val="00307964"/>
    <w:rsid w:val="00322BB4"/>
    <w:rsid w:val="00330483"/>
    <w:rsid w:val="00334CBC"/>
    <w:rsid w:val="00335C19"/>
    <w:rsid w:val="00336BBC"/>
    <w:rsid w:val="00337365"/>
    <w:rsid w:val="00344505"/>
    <w:rsid w:val="00345EC1"/>
    <w:rsid w:val="00346965"/>
    <w:rsid w:val="003756A7"/>
    <w:rsid w:val="00376730"/>
    <w:rsid w:val="003A1E8F"/>
    <w:rsid w:val="003A4C2E"/>
    <w:rsid w:val="003A4D68"/>
    <w:rsid w:val="003A59B0"/>
    <w:rsid w:val="003B1C41"/>
    <w:rsid w:val="003C328E"/>
    <w:rsid w:val="004068AB"/>
    <w:rsid w:val="0041627E"/>
    <w:rsid w:val="00417418"/>
    <w:rsid w:val="00422857"/>
    <w:rsid w:val="00422976"/>
    <w:rsid w:val="00431930"/>
    <w:rsid w:val="00432EB0"/>
    <w:rsid w:val="0044118A"/>
    <w:rsid w:val="004416CC"/>
    <w:rsid w:val="00441E34"/>
    <w:rsid w:val="00446478"/>
    <w:rsid w:val="00447338"/>
    <w:rsid w:val="0045230F"/>
    <w:rsid w:val="00455F59"/>
    <w:rsid w:val="0046190E"/>
    <w:rsid w:val="004661C8"/>
    <w:rsid w:val="004664F2"/>
    <w:rsid w:val="00473479"/>
    <w:rsid w:val="00480465"/>
    <w:rsid w:val="004A4353"/>
    <w:rsid w:val="004A5829"/>
    <w:rsid w:val="004A6CEE"/>
    <w:rsid w:val="004B04DB"/>
    <w:rsid w:val="004B1130"/>
    <w:rsid w:val="004B3D67"/>
    <w:rsid w:val="004C0B8A"/>
    <w:rsid w:val="004C2946"/>
    <w:rsid w:val="004D03F4"/>
    <w:rsid w:val="004D053E"/>
    <w:rsid w:val="004D07A8"/>
    <w:rsid w:val="004D5D9E"/>
    <w:rsid w:val="004E0FDC"/>
    <w:rsid w:val="004F4132"/>
    <w:rsid w:val="004F533E"/>
    <w:rsid w:val="004F6193"/>
    <w:rsid w:val="00500735"/>
    <w:rsid w:val="005065C1"/>
    <w:rsid w:val="00507E4F"/>
    <w:rsid w:val="00524E21"/>
    <w:rsid w:val="00526716"/>
    <w:rsid w:val="005306F4"/>
    <w:rsid w:val="00530D2A"/>
    <w:rsid w:val="0053488D"/>
    <w:rsid w:val="005350BA"/>
    <w:rsid w:val="00537016"/>
    <w:rsid w:val="005520D6"/>
    <w:rsid w:val="00555090"/>
    <w:rsid w:val="00560407"/>
    <w:rsid w:val="00561CD6"/>
    <w:rsid w:val="005775DD"/>
    <w:rsid w:val="0058397B"/>
    <w:rsid w:val="00583B1B"/>
    <w:rsid w:val="00593702"/>
    <w:rsid w:val="005962E0"/>
    <w:rsid w:val="0059798A"/>
    <w:rsid w:val="005A0B21"/>
    <w:rsid w:val="005B57A3"/>
    <w:rsid w:val="005B5838"/>
    <w:rsid w:val="005E6166"/>
    <w:rsid w:val="005F74CD"/>
    <w:rsid w:val="0060467A"/>
    <w:rsid w:val="00605DF8"/>
    <w:rsid w:val="006224F7"/>
    <w:rsid w:val="006314D3"/>
    <w:rsid w:val="00633C7F"/>
    <w:rsid w:val="00634ACE"/>
    <w:rsid w:val="00635923"/>
    <w:rsid w:val="00641CF9"/>
    <w:rsid w:val="00646D01"/>
    <w:rsid w:val="00653251"/>
    <w:rsid w:val="00656EF5"/>
    <w:rsid w:val="00666B8C"/>
    <w:rsid w:val="00682D25"/>
    <w:rsid w:val="00686A1E"/>
    <w:rsid w:val="00687021"/>
    <w:rsid w:val="00690DB0"/>
    <w:rsid w:val="006964AB"/>
    <w:rsid w:val="006A12A4"/>
    <w:rsid w:val="006B0490"/>
    <w:rsid w:val="006E0648"/>
    <w:rsid w:val="006F0E5E"/>
    <w:rsid w:val="00702DC2"/>
    <w:rsid w:val="00710139"/>
    <w:rsid w:val="00744A41"/>
    <w:rsid w:val="00747B5A"/>
    <w:rsid w:val="00751E6D"/>
    <w:rsid w:val="00754739"/>
    <w:rsid w:val="007614CE"/>
    <w:rsid w:val="00792BBC"/>
    <w:rsid w:val="007931DF"/>
    <w:rsid w:val="0079419C"/>
    <w:rsid w:val="007A34E7"/>
    <w:rsid w:val="007A38B3"/>
    <w:rsid w:val="007B56A4"/>
    <w:rsid w:val="007B57C7"/>
    <w:rsid w:val="007C53CB"/>
    <w:rsid w:val="007D128A"/>
    <w:rsid w:val="007D6150"/>
    <w:rsid w:val="007D6196"/>
    <w:rsid w:val="007F5891"/>
    <w:rsid w:val="008001A2"/>
    <w:rsid w:val="00820E32"/>
    <w:rsid w:val="0082652A"/>
    <w:rsid w:val="00830EE7"/>
    <w:rsid w:val="00834D8C"/>
    <w:rsid w:val="00842A78"/>
    <w:rsid w:val="00861351"/>
    <w:rsid w:val="008753A8"/>
    <w:rsid w:val="00884227"/>
    <w:rsid w:val="00896508"/>
    <w:rsid w:val="00897717"/>
    <w:rsid w:val="008A1E98"/>
    <w:rsid w:val="008B409B"/>
    <w:rsid w:val="008B6BCE"/>
    <w:rsid w:val="008B6C62"/>
    <w:rsid w:val="008C4197"/>
    <w:rsid w:val="008C4447"/>
    <w:rsid w:val="008D125F"/>
    <w:rsid w:val="008E1C40"/>
    <w:rsid w:val="008E6530"/>
    <w:rsid w:val="008F2D8D"/>
    <w:rsid w:val="008F4839"/>
    <w:rsid w:val="00900C8C"/>
    <w:rsid w:val="00907787"/>
    <w:rsid w:val="00923157"/>
    <w:rsid w:val="009417BE"/>
    <w:rsid w:val="00942BAE"/>
    <w:rsid w:val="009456EB"/>
    <w:rsid w:val="009459FB"/>
    <w:rsid w:val="00945BA9"/>
    <w:rsid w:val="0094784E"/>
    <w:rsid w:val="009526CB"/>
    <w:rsid w:val="00961F49"/>
    <w:rsid w:val="00983768"/>
    <w:rsid w:val="00984C4C"/>
    <w:rsid w:val="00985F72"/>
    <w:rsid w:val="00991D7F"/>
    <w:rsid w:val="009A38F4"/>
    <w:rsid w:val="009A73CA"/>
    <w:rsid w:val="009B258D"/>
    <w:rsid w:val="009B69A3"/>
    <w:rsid w:val="009B7B14"/>
    <w:rsid w:val="009C2ABE"/>
    <w:rsid w:val="009C4791"/>
    <w:rsid w:val="009D26B4"/>
    <w:rsid w:val="009E5C7D"/>
    <w:rsid w:val="009E72FE"/>
    <w:rsid w:val="009F0422"/>
    <w:rsid w:val="009F46AD"/>
    <w:rsid w:val="00A04DAE"/>
    <w:rsid w:val="00A05645"/>
    <w:rsid w:val="00A13B6D"/>
    <w:rsid w:val="00A14A90"/>
    <w:rsid w:val="00A16E7E"/>
    <w:rsid w:val="00A21730"/>
    <w:rsid w:val="00A22608"/>
    <w:rsid w:val="00A262D6"/>
    <w:rsid w:val="00A34D48"/>
    <w:rsid w:val="00A430AD"/>
    <w:rsid w:val="00A66548"/>
    <w:rsid w:val="00A66D7D"/>
    <w:rsid w:val="00A71EAA"/>
    <w:rsid w:val="00A800CA"/>
    <w:rsid w:val="00A81EA4"/>
    <w:rsid w:val="00A9277B"/>
    <w:rsid w:val="00A97135"/>
    <w:rsid w:val="00AA750E"/>
    <w:rsid w:val="00AB1045"/>
    <w:rsid w:val="00AB5516"/>
    <w:rsid w:val="00AB743E"/>
    <w:rsid w:val="00AB7F11"/>
    <w:rsid w:val="00AC6049"/>
    <w:rsid w:val="00AD466B"/>
    <w:rsid w:val="00AD6804"/>
    <w:rsid w:val="00AE0E76"/>
    <w:rsid w:val="00AE5B82"/>
    <w:rsid w:val="00B050F0"/>
    <w:rsid w:val="00B153C3"/>
    <w:rsid w:val="00B27C47"/>
    <w:rsid w:val="00B57290"/>
    <w:rsid w:val="00B57FDE"/>
    <w:rsid w:val="00B60636"/>
    <w:rsid w:val="00B621F8"/>
    <w:rsid w:val="00B6302B"/>
    <w:rsid w:val="00B653DA"/>
    <w:rsid w:val="00B73AB8"/>
    <w:rsid w:val="00B81779"/>
    <w:rsid w:val="00B82778"/>
    <w:rsid w:val="00B90E2E"/>
    <w:rsid w:val="00B92ADC"/>
    <w:rsid w:val="00B94286"/>
    <w:rsid w:val="00B95723"/>
    <w:rsid w:val="00BA2BD1"/>
    <w:rsid w:val="00BA7913"/>
    <w:rsid w:val="00BB3794"/>
    <w:rsid w:val="00BC4358"/>
    <w:rsid w:val="00BC754E"/>
    <w:rsid w:val="00BD185E"/>
    <w:rsid w:val="00BD5495"/>
    <w:rsid w:val="00C11013"/>
    <w:rsid w:val="00C16007"/>
    <w:rsid w:val="00C164BF"/>
    <w:rsid w:val="00C166A6"/>
    <w:rsid w:val="00C172FD"/>
    <w:rsid w:val="00C33CD0"/>
    <w:rsid w:val="00C72436"/>
    <w:rsid w:val="00C842E2"/>
    <w:rsid w:val="00C87C5E"/>
    <w:rsid w:val="00C915C1"/>
    <w:rsid w:val="00CA3700"/>
    <w:rsid w:val="00CB5683"/>
    <w:rsid w:val="00CC18E9"/>
    <w:rsid w:val="00CD4689"/>
    <w:rsid w:val="00CE3A97"/>
    <w:rsid w:val="00CE4526"/>
    <w:rsid w:val="00CE72A7"/>
    <w:rsid w:val="00CF0B8A"/>
    <w:rsid w:val="00D07032"/>
    <w:rsid w:val="00D14852"/>
    <w:rsid w:val="00D25671"/>
    <w:rsid w:val="00D536B8"/>
    <w:rsid w:val="00D56DDF"/>
    <w:rsid w:val="00D5710F"/>
    <w:rsid w:val="00D63C4D"/>
    <w:rsid w:val="00D646E2"/>
    <w:rsid w:val="00D75EAE"/>
    <w:rsid w:val="00D80067"/>
    <w:rsid w:val="00D80346"/>
    <w:rsid w:val="00DB0B93"/>
    <w:rsid w:val="00DB2D92"/>
    <w:rsid w:val="00DD4D7E"/>
    <w:rsid w:val="00DD50A7"/>
    <w:rsid w:val="00DE0540"/>
    <w:rsid w:val="00DE4557"/>
    <w:rsid w:val="00DF39BC"/>
    <w:rsid w:val="00DF5421"/>
    <w:rsid w:val="00DF70D9"/>
    <w:rsid w:val="00E052CE"/>
    <w:rsid w:val="00E127D0"/>
    <w:rsid w:val="00E17360"/>
    <w:rsid w:val="00E34BA0"/>
    <w:rsid w:val="00E520F8"/>
    <w:rsid w:val="00E608D3"/>
    <w:rsid w:val="00E66E77"/>
    <w:rsid w:val="00E677F4"/>
    <w:rsid w:val="00E73DB3"/>
    <w:rsid w:val="00E74D8A"/>
    <w:rsid w:val="00E76C2C"/>
    <w:rsid w:val="00E87523"/>
    <w:rsid w:val="00EB0A3D"/>
    <w:rsid w:val="00EB5AB2"/>
    <w:rsid w:val="00EB70BA"/>
    <w:rsid w:val="00ED1A7C"/>
    <w:rsid w:val="00EE7551"/>
    <w:rsid w:val="00F0414D"/>
    <w:rsid w:val="00F21B37"/>
    <w:rsid w:val="00F36EE3"/>
    <w:rsid w:val="00F40C16"/>
    <w:rsid w:val="00F524BB"/>
    <w:rsid w:val="00F54845"/>
    <w:rsid w:val="00F61994"/>
    <w:rsid w:val="00F63830"/>
    <w:rsid w:val="00F716D3"/>
    <w:rsid w:val="00F7446B"/>
    <w:rsid w:val="00F87CF6"/>
    <w:rsid w:val="00F9538F"/>
    <w:rsid w:val="00F973B7"/>
    <w:rsid w:val="00FA29AC"/>
    <w:rsid w:val="00FB3323"/>
    <w:rsid w:val="00FC5055"/>
    <w:rsid w:val="00FC6E35"/>
    <w:rsid w:val="00FD3420"/>
    <w:rsid w:val="00FD6932"/>
    <w:rsid w:val="00FE4B81"/>
    <w:rsid w:val="00FE4D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8C8E40"/>
  <w15:docId w15:val="{8F743545-E17E-4099-AA4E-FB6DE4D3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346"/>
    <w:rPr>
      <w:sz w:val="24"/>
      <w:lang w:val="en-GB"/>
    </w:rPr>
  </w:style>
  <w:style w:type="paragraph" w:styleId="Heading1">
    <w:name w:val="heading 1"/>
    <w:basedOn w:val="Normal"/>
    <w:next w:val="Normal"/>
    <w:qFormat/>
    <w:rsid w:val="00D80346"/>
    <w:pPr>
      <w:keepNext/>
      <w:jc w:val="center"/>
      <w:outlineLvl w:val="0"/>
    </w:pPr>
    <w:rPr>
      <w:rFonts w:ascii="Century Gothic" w:hAnsi="Century Gothic"/>
      <w:b/>
      <w:sz w:val="28"/>
      <w:lang w:val="en-IE"/>
    </w:rPr>
  </w:style>
  <w:style w:type="paragraph" w:styleId="Heading2">
    <w:name w:val="heading 2"/>
    <w:basedOn w:val="Normal"/>
    <w:next w:val="Normal"/>
    <w:qFormat/>
    <w:rsid w:val="00D80346"/>
    <w:pPr>
      <w:keepNext/>
      <w:outlineLvl w:val="1"/>
    </w:pPr>
    <w:rPr>
      <w:rFonts w:ascii="Century Gothic" w:hAnsi="Century Gothic"/>
      <w:b/>
      <w:sz w:val="32"/>
      <w:u w:val="single"/>
      <w:lang w:val="en-IE"/>
    </w:rPr>
  </w:style>
  <w:style w:type="paragraph" w:styleId="Heading3">
    <w:name w:val="heading 3"/>
    <w:basedOn w:val="Normal"/>
    <w:next w:val="Normal"/>
    <w:qFormat/>
    <w:rsid w:val="00D80346"/>
    <w:pPr>
      <w:keepNext/>
      <w:outlineLvl w:val="2"/>
    </w:pPr>
    <w:rPr>
      <w:rFonts w:ascii="Century Gothic" w:hAnsi="Century Gothic"/>
      <w:b/>
      <w:lang w:val="en-IE"/>
    </w:rPr>
  </w:style>
  <w:style w:type="paragraph" w:styleId="Heading4">
    <w:name w:val="heading 4"/>
    <w:basedOn w:val="Normal"/>
    <w:next w:val="Normal"/>
    <w:qFormat/>
    <w:rsid w:val="00D80346"/>
    <w:pPr>
      <w:keepNext/>
      <w:jc w:val="both"/>
      <w:outlineLvl w:val="3"/>
    </w:pPr>
    <w:rPr>
      <w:rFonts w:ascii="Century Gothic" w:hAnsi="Century Gothic"/>
      <w:b/>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80346"/>
    <w:pPr>
      <w:jc w:val="both"/>
    </w:pPr>
    <w:rPr>
      <w:rFonts w:ascii="Century Gothic" w:hAnsi="Century Gothic"/>
      <w:lang w:val="en-IE"/>
    </w:rPr>
  </w:style>
  <w:style w:type="paragraph" w:styleId="Title">
    <w:name w:val="Title"/>
    <w:basedOn w:val="Normal"/>
    <w:qFormat/>
    <w:rsid w:val="00D80346"/>
    <w:pPr>
      <w:jc w:val="center"/>
    </w:pPr>
    <w:rPr>
      <w:b/>
      <w:snapToGrid w:val="0"/>
      <w:lang w:eastAsia="en-US"/>
    </w:rPr>
  </w:style>
  <w:style w:type="paragraph" w:styleId="Subtitle">
    <w:name w:val="Subtitle"/>
    <w:basedOn w:val="Normal"/>
    <w:qFormat/>
    <w:rsid w:val="00D80346"/>
    <w:pPr>
      <w:jc w:val="center"/>
    </w:pPr>
    <w:rPr>
      <w:b/>
      <w:snapToGrid w:val="0"/>
      <w:sz w:val="28"/>
      <w:lang w:eastAsia="en-US"/>
    </w:rPr>
  </w:style>
  <w:style w:type="paragraph" w:styleId="ListParagraph">
    <w:name w:val="List Paragraph"/>
    <w:basedOn w:val="Normal"/>
    <w:uiPriority w:val="34"/>
    <w:qFormat/>
    <w:rsid w:val="00D80346"/>
    <w:pPr>
      <w:spacing w:after="200" w:line="276" w:lineRule="auto"/>
      <w:ind w:left="720"/>
    </w:pPr>
    <w:rPr>
      <w:rFonts w:ascii="Calibri" w:hAnsi="Calibri"/>
      <w:sz w:val="22"/>
      <w:lang w:val="en-IE" w:eastAsia="en-US"/>
    </w:rPr>
  </w:style>
  <w:style w:type="paragraph" w:styleId="NoSpacing">
    <w:name w:val="No Spacing"/>
    <w:link w:val="NoSpacingChar"/>
    <w:uiPriority w:val="1"/>
    <w:qFormat/>
    <w:rsid w:val="00D80346"/>
    <w:rPr>
      <w:rFonts w:ascii="Calibri" w:hAnsi="Calibri"/>
      <w:sz w:val="22"/>
      <w:lang w:val="en-US" w:eastAsia="en-US"/>
    </w:rPr>
  </w:style>
  <w:style w:type="paragraph" w:styleId="Header">
    <w:name w:val="header"/>
    <w:basedOn w:val="Normal"/>
    <w:semiHidden/>
    <w:rsid w:val="00D80346"/>
    <w:pPr>
      <w:tabs>
        <w:tab w:val="center" w:pos="4153"/>
        <w:tab w:val="right" w:pos="8306"/>
      </w:tabs>
    </w:pPr>
  </w:style>
  <w:style w:type="paragraph" w:styleId="Footer">
    <w:name w:val="footer"/>
    <w:basedOn w:val="Normal"/>
    <w:semiHidden/>
    <w:rsid w:val="00D80346"/>
    <w:pPr>
      <w:tabs>
        <w:tab w:val="center" w:pos="4153"/>
        <w:tab w:val="right" w:pos="8306"/>
      </w:tabs>
    </w:pPr>
  </w:style>
  <w:style w:type="character" w:styleId="PageNumber">
    <w:name w:val="page number"/>
    <w:basedOn w:val="DefaultParagraphFont"/>
    <w:semiHidden/>
    <w:rsid w:val="00D80346"/>
  </w:style>
  <w:style w:type="character" w:customStyle="1" w:styleId="NoSpacingChar">
    <w:name w:val="No Spacing Char"/>
    <w:basedOn w:val="DefaultParagraphFont"/>
    <w:link w:val="NoSpacing"/>
    <w:uiPriority w:val="1"/>
    <w:locked/>
    <w:rsid w:val="004B3D67"/>
    <w:rPr>
      <w:rFonts w:ascii="Calibri" w:hAnsi="Calibri"/>
      <w:sz w:val="22"/>
      <w:lang w:val="en-US" w:eastAsia="en-US"/>
    </w:rPr>
  </w:style>
  <w:style w:type="table" w:styleId="TableGrid">
    <w:name w:val="Table Grid"/>
    <w:basedOn w:val="TableNormal"/>
    <w:uiPriority w:val="59"/>
    <w:rsid w:val="0005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0149">
      <w:bodyDiv w:val="1"/>
      <w:marLeft w:val="0"/>
      <w:marRight w:val="0"/>
      <w:marTop w:val="0"/>
      <w:marBottom w:val="0"/>
      <w:divBdr>
        <w:top w:val="none" w:sz="0" w:space="0" w:color="auto"/>
        <w:left w:val="none" w:sz="0" w:space="0" w:color="auto"/>
        <w:bottom w:val="none" w:sz="0" w:space="0" w:color="auto"/>
        <w:right w:val="none" w:sz="0" w:space="0" w:color="auto"/>
      </w:divBdr>
    </w:div>
    <w:div w:id="97264973">
      <w:bodyDiv w:val="1"/>
      <w:marLeft w:val="0"/>
      <w:marRight w:val="0"/>
      <w:marTop w:val="0"/>
      <w:marBottom w:val="0"/>
      <w:divBdr>
        <w:top w:val="none" w:sz="0" w:space="0" w:color="auto"/>
        <w:left w:val="none" w:sz="0" w:space="0" w:color="auto"/>
        <w:bottom w:val="none" w:sz="0" w:space="0" w:color="auto"/>
        <w:right w:val="none" w:sz="0" w:space="0" w:color="auto"/>
      </w:divBdr>
    </w:div>
    <w:div w:id="159122016">
      <w:bodyDiv w:val="1"/>
      <w:marLeft w:val="0"/>
      <w:marRight w:val="0"/>
      <w:marTop w:val="0"/>
      <w:marBottom w:val="0"/>
      <w:divBdr>
        <w:top w:val="none" w:sz="0" w:space="0" w:color="auto"/>
        <w:left w:val="none" w:sz="0" w:space="0" w:color="auto"/>
        <w:bottom w:val="none" w:sz="0" w:space="0" w:color="auto"/>
        <w:right w:val="none" w:sz="0" w:space="0" w:color="auto"/>
      </w:divBdr>
    </w:div>
    <w:div w:id="185799325">
      <w:bodyDiv w:val="1"/>
      <w:marLeft w:val="0"/>
      <w:marRight w:val="0"/>
      <w:marTop w:val="0"/>
      <w:marBottom w:val="0"/>
      <w:divBdr>
        <w:top w:val="none" w:sz="0" w:space="0" w:color="auto"/>
        <w:left w:val="none" w:sz="0" w:space="0" w:color="auto"/>
        <w:bottom w:val="none" w:sz="0" w:space="0" w:color="auto"/>
        <w:right w:val="none" w:sz="0" w:space="0" w:color="auto"/>
      </w:divBdr>
    </w:div>
    <w:div w:id="264775526">
      <w:bodyDiv w:val="1"/>
      <w:marLeft w:val="0"/>
      <w:marRight w:val="0"/>
      <w:marTop w:val="0"/>
      <w:marBottom w:val="0"/>
      <w:divBdr>
        <w:top w:val="none" w:sz="0" w:space="0" w:color="auto"/>
        <w:left w:val="none" w:sz="0" w:space="0" w:color="auto"/>
        <w:bottom w:val="none" w:sz="0" w:space="0" w:color="auto"/>
        <w:right w:val="none" w:sz="0" w:space="0" w:color="auto"/>
      </w:divBdr>
    </w:div>
    <w:div w:id="266624600">
      <w:bodyDiv w:val="1"/>
      <w:marLeft w:val="0"/>
      <w:marRight w:val="0"/>
      <w:marTop w:val="0"/>
      <w:marBottom w:val="0"/>
      <w:divBdr>
        <w:top w:val="none" w:sz="0" w:space="0" w:color="auto"/>
        <w:left w:val="none" w:sz="0" w:space="0" w:color="auto"/>
        <w:bottom w:val="none" w:sz="0" w:space="0" w:color="auto"/>
        <w:right w:val="none" w:sz="0" w:space="0" w:color="auto"/>
      </w:divBdr>
    </w:div>
    <w:div w:id="361903824">
      <w:bodyDiv w:val="1"/>
      <w:marLeft w:val="0"/>
      <w:marRight w:val="0"/>
      <w:marTop w:val="0"/>
      <w:marBottom w:val="0"/>
      <w:divBdr>
        <w:top w:val="none" w:sz="0" w:space="0" w:color="auto"/>
        <w:left w:val="none" w:sz="0" w:space="0" w:color="auto"/>
        <w:bottom w:val="none" w:sz="0" w:space="0" w:color="auto"/>
        <w:right w:val="none" w:sz="0" w:space="0" w:color="auto"/>
      </w:divBdr>
    </w:div>
    <w:div w:id="445080906">
      <w:bodyDiv w:val="1"/>
      <w:marLeft w:val="0"/>
      <w:marRight w:val="0"/>
      <w:marTop w:val="0"/>
      <w:marBottom w:val="0"/>
      <w:divBdr>
        <w:top w:val="none" w:sz="0" w:space="0" w:color="auto"/>
        <w:left w:val="none" w:sz="0" w:space="0" w:color="auto"/>
        <w:bottom w:val="none" w:sz="0" w:space="0" w:color="auto"/>
        <w:right w:val="none" w:sz="0" w:space="0" w:color="auto"/>
      </w:divBdr>
    </w:div>
    <w:div w:id="537938160">
      <w:bodyDiv w:val="1"/>
      <w:marLeft w:val="0"/>
      <w:marRight w:val="0"/>
      <w:marTop w:val="0"/>
      <w:marBottom w:val="0"/>
      <w:divBdr>
        <w:top w:val="none" w:sz="0" w:space="0" w:color="auto"/>
        <w:left w:val="none" w:sz="0" w:space="0" w:color="auto"/>
        <w:bottom w:val="none" w:sz="0" w:space="0" w:color="auto"/>
        <w:right w:val="none" w:sz="0" w:space="0" w:color="auto"/>
      </w:divBdr>
    </w:div>
    <w:div w:id="559751788">
      <w:bodyDiv w:val="1"/>
      <w:marLeft w:val="0"/>
      <w:marRight w:val="0"/>
      <w:marTop w:val="0"/>
      <w:marBottom w:val="0"/>
      <w:divBdr>
        <w:top w:val="none" w:sz="0" w:space="0" w:color="auto"/>
        <w:left w:val="none" w:sz="0" w:space="0" w:color="auto"/>
        <w:bottom w:val="none" w:sz="0" w:space="0" w:color="auto"/>
        <w:right w:val="none" w:sz="0" w:space="0" w:color="auto"/>
      </w:divBdr>
    </w:div>
    <w:div w:id="651178790">
      <w:bodyDiv w:val="1"/>
      <w:marLeft w:val="0"/>
      <w:marRight w:val="0"/>
      <w:marTop w:val="0"/>
      <w:marBottom w:val="0"/>
      <w:divBdr>
        <w:top w:val="none" w:sz="0" w:space="0" w:color="auto"/>
        <w:left w:val="none" w:sz="0" w:space="0" w:color="auto"/>
        <w:bottom w:val="none" w:sz="0" w:space="0" w:color="auto"/>
        <w:right w:val="none" w:sz="0" w:space="0" w:color="auto"/>
      </w:divBdr>
    </w:div>
    <w:div w:id="724136875">
      <w:bodyDiv w:val="1"/>
      <w:marLeft w:val="0"/>
      <w:marRight w:val="0"/>
      <w:marTop w:val="0"/>
      <w:marBottom w:val="0"/>
      <w:divBdr>
        <w:top w:val="none" w:sz="0" w:space="0" w:color="auto"/>
        <w:left w:val="none" w:sz="0" w:space="0" w:color="auto"/>
        <w:bottom w:val="none" w:sz="0" w:space="0" w:color="auto"/>
        <w:right w:val="none" w:sz="0" w:space="0" w:color="auto"/>
      </w:divBdr>
    </w:div>
    <w:div w:id="743651557">
      <w:bodyDiv w:val="1"/>
      <w:marLeft w:val="0"/>
      <w:marRight w:val="0"/>
      <w:marTop w:val="0"/>
      <w:marBottom w:val="0"/>
      <w:divBdr>
        <w:top w:val="none" w:sz="0" w:space="0" w:color="auto"/>
        <w:left w:val="none" w:sz="0" w:space="0" w:color="auto"/>
        <w:bottom w:val="none" w:sz="0" w:space="0" w:color="auto"/>
        <w:right w:val="none" w:sz="0" w:space="0" w:color="auto"/>
      </w:divBdr>
    </w:div>
    <w:div w:id="814102120">
      <w:bodyDiv w:val="1"/>
      <w:marLeft w:val="0"/>
      <w:marRight w:val="0"/>
      <w:marTop w:val="0"/>
      <w:marBottom w:val="0"/>
      <w:divBdr>
        <w:top w:val="none" w:sz="0" w:space="0" w:color="auto"/>
        <w:left w:val="none" w:sz="0" w:space="0" w:color="auto"/>
        <w:bottom w:val="none" w:sz="0" w:space="0" w:color="auto"/>
        <w:right w:val="none" w:sz="0" w:space="0" w:color="auto"/>
      </w:divBdr>
    </w:div>
    <w:div w:id="821236955">
      <w:bodyDiv w:val="1"/>
      <w:marLeft w:val="0"/>
      <w:marRight w:val="0"/>
      <w:marTop w:val="0"/>
      <w:marBottom w:val="0"/>
      <w:divBdr>
        <w:top w:val="none" w:sz="0" w:space="0" w:color="auto"/>
        <w:left w:val="none" w:sz="0" w:space="0" w:color="auto"/>
        <w:bottom w:val="none" w:sz="0" w:space="0" w:color="auto"/>
        <w:right w:val="none" w:sz="0" w:space="0" w:color="auto"/>
      </w:divBdr>
    </w:div>
    <w:div w:id="823353251">
      <w:bodyDiv w:val="1"/>
      <w:marLeft w:val="0"/>
      <w:marRight w:val="0"/>
      <w:marTop w:val="0"/>
      <w:marBottom w:val="0"/>
      <w:divBdr>
        <w:top w:val="none" w:sz="0" w:space="0" w:color="auto"/>
        <w:left w:val="none" w:sz="0" w:space="0" w:color="auto"/>
        <w:bottom w:val="none" w:sz="0" w:space="0" w:color="auto"/>
        <w:right w:val="none" w:sz="0" w:space="0" w:color="auto"/>
      </w:divBdr>
    </w:div>
    <w:div w:id="866067014">
      <w:bodyDiv w:val="1"/>
      <w:marLeft w:val="0"/>
      <w:marRight w:val="0"/>
      <w:marTop w:val="0"/>
      <w:marBottom w:val="0"/>
      <w:divBdr>
        <w:top w:val="none" w:sz="0" w:space="0" w:color="auto"/>
        <w:left w:val="none" w:sz="0" w:space="0" w:color="auto"/>
        <w:bottom w:val="none" w:sz="0" w:space="0" w:color="auto"/>
        <w:right w:val="none" w:sz="0" w:space="0" w:color="auto"/>
      </w:divBdr>
    </w:div>
    <w:div w:id="971835072">
      <w:bodyDiv w:val="1"/>
      <w:marLeft w:val="0"/>
      <w:marRight w:val="0"/>
      <w:marTop w:val="0"/>
      <w:marBottom w:val="0"/>
      <w:divBdr>
        <w:top w:val="none" w:sz="0" w:space="0" w:color="auto"/>
        <w:left w:val="none" w:sz="0" w:space="0" w:color="auto"/>
        <w:bottom w:val="none" w:sz="0" w:space="0" w:color="auto"/>
        <w:right w:val="none" w:sz="0" w:space="0" w:color="auto"/>
      </w:divBdr>
    </w:div>
    <w:div w:id="1013266699">
      <w:bodyDiv w:val="1"/>
      <w:marLeft w:val="0"/>
      <w:marRight w:val="0"/>
      <w:marTop w:val="0"/>
      <w:marBottom w:val="0"/>
      <w:divBdr>
        <w:top w:val="none" w:sz="0" w:space="0" w:color="auto"/>
        <w:left w:val="none" w:sz="0" w:space="0" w:color="auto"/>
        <w:bottom w:val="none" w:sz="0" w:space="0" w:color="auto"/>
        <w:right w:val="none" w:sz="0" w:space="0" w:color="auto"/>
      </w:divBdr>
    </w:div>
    <w:div w:id="1049651097">
      <w:bodyDiv w:val="1"/>
      <w:marLeft w:val="0"/>
      <w:marRight w:val="0"/>
      <w:marTop w:val="0"/>
      <w:marBottom w:val="0"/>
      <w:divBdr>
        <w:top w:val="none" w:sz="0" w:space="0" w:color="auto"/>
        <w:left w:val="none" w:sz="0" w:space="0" w:color="auto"/>
        <w:bottom w:val="none" w:sz="0" w:space="0" w:color="auto"/>
        <w:right w:val="none" w:sz="0" w:space="0" w:color="auto"/>
      </w:divBdr>
    </w:div>
    <w:div w:id="1067996072">
      <w:bodyDiv w:val="1"/>
      <w:marLeft w:val="0"/>
      <w:marRight w:val="0"/>
      <w:marTop w:val="0"/>
      <w:marBottom w:val="0"/>
      <w:divBdr>
        <w:top w:val="none" w:sz="0" w:space="0" w:color="auto"/>
        <w:left w:val="none" w:sz="0" w:space="0" w:color="auto"/>
        <w:bottom w:val="none" w:sz="0" w:space="0" w:color="auto"/>
        <w:right w:val="none" w:sz="0" w:space="0" w:color="auto"/>
      </w:divBdr>
    </w:div>
    <w:div w:id="1198078780">
      <w:bodyDiv w:val="1"/>
      <w:marLeft w:val="0"/>
      <w:marRight w:val="0"/>
      <w:marTop w:val="0"/>
      <w:marBottom w:val="0"/>
      <w:divBdr>
        <w:top w:val="none" w:sz="0" w:space="0" w:color="auto"/>
        <w:left w:val="none" w:sz="0" w:space="0" w:color="auto"/>
        <w:bottom w:val="none" w:sz="0" w:space="0" w:color="auto"/>
        <w:right w:val="none" w:sz="0" w:space="0" w:color="auto"/>
      </w:divBdr>
    </w:div>
    <w:div w:id="1202741699">
      <w:bodyDiv w:val="1"/>
      <w:marLeft w:val="0"/>
      <w:marRight w:val="0"/>
      <w:marTop w:val="0"/>
      <w:marBottom w:val="0"/>
      <w:divBdr>
        <w:top w:val="none" w:sz="0" w:space="0" w:color="auto"/>
        <w:left w:val="none" w:sz="0" w:space="0" w:color="auto"/>
        <w:bottom w:val="none" w:sz="0" w:space="0" w:color="auto"/>
        <w:right w:val="none" w:sz="0" w:space="0" w:color="auto"/>
      </w:divBdr>
    </w:div>
    <w:div w:id="1222207817">
      <w:bodyDiv w:val="1"/>
      <w:marLeft w:val="0"/>
      <w:marRight w:val="0"/>
      <w:marTop w:val="0"/>
      <w:marBottom w:val="0"/>
      <w:divBdr>
        <w:top w:val="none" w:sz="0" w:space="0" w:color="auto"/>
        <w:left w:val="none" w:sz="0" w:space="0" w:color="auto"/>
        <w:bottom w:val="none" w:sz="0" w:space="0" w:color="auto"/>
        <w:right w:val="none" w:sz="0" w:space="0" w:color="auto"/>
      </w:divBdr>
    </w:div>
    <w:div w:id="1246383281">
      <w:bodyDiv w:val="1"/>
      <w:marLeft w:val="0"/>
      <w:marRight w:val="0"/>
      <w:marTop w:val="0"/>
      <w:marBottom w:val="0"/>
      <w:divBdr>
        <w:top w:val="none" w:sz="0" w:space="0" w:color="auto"/>
        <w:left w:val="none" w:sz="0" w:space="0" w:color="auto"/>
        <w:bottom w:val="none" w:sz="0" w:space="0" w:color="auto"/>
        <w:right w:val="none" w:sz="0" w:space="0" w:color="auto"/>
      </w:divBdr>
    </w:div>
    <w:div w:id="1300841026">
      <w:bodyDiv w:val="1"/>
      <w:marLeft w:val="0"/>
      <w:marRight w:val="0"/>
      <w:marTop w:val="0"/>
      <w:marBottom w:val="0"/>
      <w:divBdr>
        <w:top w:val="none" w:sz="0" w:space="0" w:color="auto"/>
        <w:left w:val="none" w:sz="0" w:space="0" w:color="auto"/>
        <w:bottom w:val="none" w:sz="0" w:space="0" w:color="auto"/>
        <w:right w:val="none" w:sz="0" w:space="0" w:color="auto"/>
      </w:divBdr>
    </w:div>
    <w:div w:id="1461222035">
      <w:bodyDiv w:val="1"/>
      <w:marLeft w:val="0"/>
      <w:marRight w:val="0"/>
      <w:marTop w:val="0"/>
      <w:marBottom w:val="0"/>
      <w:divBdr>
        <w:top w:val="none" w:sz="0" w:space="0" w:color="auto"/>
        <w:left w:val="none" w:sz="0" w:space="0" w:color="auto"/>
        <w:bottom w:val="none" w:sz="0" w:space="0" w:color="auto"/>
        <w:right w:val="none" w:sz="0" w:space="0" w:color="auto"/>
      </w:divBdr>
    </w:div>
    <w:div w:id="1478375871">
      <w:bodyDiv w:val="1"/>
      <w:marLeft w:val="0"/>
      <w:marRight w:val="0"/>
      <w:marTop w:val="0"/>
      <w:marBottom w:val="0"/>
      <w:divBdr>
        <w:top w:val="none" w:sz="0" w:space="0" w:color="auto"/>
        <w:left w:val="none" w:sz="0" w:space="0" w:color="auto"/>
        <w:bottom w:val="none" w:sz="0" w:space="0" w:color="auto"/>
        <w:right w:val="none" w:sz="0" w:space="0" w:color="auto"/>
      </w:divBdr>
    </w:div>
    <w:div w:id="1562667447">
      <w:bodyDiv w:val="1"/>
      <w:marLeft w:val="0"/>
      <w:marRight w:val="0"/>
      <w:marTop w:val="0"/>
      <w:marBottom w:val="0"/>
      <w:divBdr>
        <w:top w:val="none" w:sz="0" w:space="0" w:color="auto"/>
        <w:left w:val="none" w:sz="0" w:space="0" w:color="auto"/>
        <w:bottom w:val="none" w:sz="0" w:space="0" w:color="auto"/>
        <w:right w:val="none" w:sz="0" w:space="0" w:color="auto"/>
      </w:divBdr>
    </w:div>
    <w:div w:id="1569724175">
      <w:bodyDiv w:val="1"/>
      <w:marLeft w:val="0"/>
      <w:marRight w:val="0"/>
      <w:marTop w:val="0"/>
      <w:marBottom w:val="0"/>
      <w:divBdr>
        <w:top w:val="none" w:sz="0" w:space="0" w:color="auto"/>
        <w:left w:val="none" w:sz="0" w:space="0" w:color="auto"/>
        <w:bottom w:val="none" w:sz="0" w:space="0" w:color="auto"/>
        <w:right w:val="none" w:sz="0" w:space="0" w:color="auto"/>
      </w:divBdr>
    </w:div>
    <w:div w:id="1656955019">
      <w:bodyDiv w:val="1"/>
      <w:marLeft w:val="0"/>
      <w:marRight w:val="0"/>
      <w:marTop w:val="0"/>
      <w:marBottom w:val="0"/>
      <w:divBdr>
        <w:top w:val="none" w:sz="0" w:space="0" w:color="auto"/>
        <w:left w:val="none" w:sz="0" w:space="0" w:color="auto"/>
        <w:bottom w:val="none" w:sz="0" w:space="0" w:color="auto"/>
        <w:right w:val="none" w:sz="0" w:space="0" w:color="auto"/>
      </w:divBdr>
    </w:div>
    <w:div w:id="1690258726">
      <w:bodyDiv w:val="1"/>
      <w:marLeft w:val="0"/>
      <w:marRight w:val="0"/>
      <w:marTop w:val="0"/>
      <w:marBottom w:val="0"/>
      <w:divBdr>
        <w:top w:val="none" w:sz="0" w:space="0" w:color="auto"/>
        <w:left w:val="none" w:sz="0" w:space="0" w:color="auto"/>
        <w:bottom w:val="none" w:sz="0" w:space="0" w:color="auto"/>
        <w:right w:val="none" w:sz="0" w:space="0" w:color="auto"/>
      </w:divBdr>
    </w:div>
    <w:div w:id="1701006147">
      <w:bodyDiv w:val="1"/>
      <w:marLeft w:val="0"/>
      <w:marRight w:val="0"/>
      <w:marTop w:val="0"/>
      <w:marBottom w:val="0"/>
      <w:divBdr>
        <w:top w:val="none" w:sz="0" w:space="0" w:color="auto"/>
        <w:left w:val="none" w:sz="0" w:space="0" w:color="auto"/>
        <w:bottom w:val="none" w:sz="0" w:space="0" w:color="auto"/>
        <w:right w:val="none" w:sz="0" w:space="0" w:color="auto"/>
      </w:divBdr>
    </w:div>
    <w:div w:id="1743942174">
      <w:bodyDiv w:val="1"/>
      <w:marLeft w:val="0"/>
      <w:marRight w:val="0"/>
      <w:marTop w:val="0"/>
      <w:marBottom w:val="0"/>
      <w:divBdr>
        <w:top w:val="none" w:sz="0" w:space="0" w:color="auto"/>
        <w:left w:val="none" w:sz="0" w:space="0" w:color="auto"/>
        <w:bottom w:val="none" w:sz="0" w:space="0" w:color="auto"/>
        <w:right w:val="none" w:sz="0" w:space="0" w:color="auto"/>
      </w:divBdr>
    </w:div>
    <w:div w:id="1796677219">
      <w:bodyDiv w:val="1"/>
      <w:marLeft w:val="0"/>
      <w:marRight w:val="0"/>
      <w:marTop w:val="0"/>
      <w:marBottom w:val="0"/>
      <w:divBdr>
        <w:top w:val="none" w:sz="0" w:space="0" w:color="auto"/>
        <w:left w:val="none" w:sz="0" w:space="0" w:color="auto"/>
        <w:bottom w:val="none" w:sz="0" w:space="0" w:color="auto"/>
        <w:right w:val="none" w:sz="0" w:space="0" w:color="auto"/>
      </w:divBdr>
    </w:div>
    <w:div w:id="1955481446">
      <w:bodyDiv w:val="1"/>
      <w:marLeft w:val="0"/>
      <w:marRight w:val="0"/>
      <w:marTop w:val="0"/>
      <w:marBottom w:val="0"/>
      <w:divBdr>
        <w:top w:val="none" w:sz="0" w:space="0" w:color="auto"/>
        <w:left w:val="none" w:sz="0" w:space="0" w:color="auto"/>
        <w:bottom w:val="none" w:sz="0" w:space="0" w:color="auto"/>
        <w:right w:val="none" w:sz="0" w:space="0" w:color="auto"/>
      </w:divBdr>
    </w:div>
    <w:div w:id="2097939407">
      <w:bodyDiv w:val="1"/>
      <w:marLeft w:val="0"/>
      <w:marRight w:val="0"/>
      <w:marTop w:val="0"/>
      <w:marBottom w:val="0"/>
      <w:divBdr>
        <w:top w:val="none" w:sz="0" w:space="0" w:color="auto"/>
        <w:left w:val="none" w:sz="0" w:space="0" w:color="auto"/>
        <w:bottom w:val="none" w:sz="0" w:space="0" w:color="auto"/>
        <w:right w:val="none" w:sz="0" w:space="0" w:color="auto"/>
      </w:divBdr>
    </w:div>
    <w:div w:id="211335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C45C2-2483-40A9-8BF2-ED80A0EF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20</Pages>
  <Words>3919</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Galway City Council</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theavey</dc:creator>
  <cp:lastModifiedBy>Sharon Lawless</cp:lastModifiedBy>
  <cp:revision>31</cp:revision>
  <cp:lastPrinted>2023-09-14T14:14:00Z</cp:lastPrinted>
  <dcterms:created xsi:type="dcterms:W3CDTF">2023-05-18T10:59:00Z</dcterms:created>
  <dcterms:modified xsi:type="dcterms:W3CDTF">2023-10-06T11:00:00Z</dcterms:modified>
</cp:coreProperties>
</file>